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F7115C">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F7115C">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F7115C">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F7115C">
      <w:pPr>
        <w:pStyle w:val="ListParagraph"/>
        <w:numPr>
          <w:ilvl w:val="0"/>
          <w:numId w:val="2"/>
        </w:numPr>
      </w:pPr>
      <w:r w:rsidRPr="00F276B3">
        <w:t>Insert answers into the blank, white cells provided.</w:t>
      </w:r>
    </w:p>
    <w:p w14:paraId="4AB13ACC" w14:textId="37246AC2" w:rsidR="00E63AC5" w:rsidRDefault="00E63AC5" w:rsidP="00F7115C">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F7115C">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F7115C">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F7115C">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74"/>
        <w:gridCol w:w="5236"/>
        <w:gridCol w:w="243"/>
        <w:gridCol w:w="167"/>
        <w:gridCol w:w="413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344A61" w:rsidR="00093CA9" w:rsidRDefault="005D5B4D"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794934B" w:rsidR="00093CA9" w:rsidRDefault="00167A5F" w:rsidP="00093CA9">
            <w:r w:rsidRPr="00167A5F">
              <w:t>Carbon Credit Trading Scheme 2023 (the “CCTS”) and Detailed Procedure for Offset Mechanism under CCTS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9439082" w14:textId="77777777" w:rsidR="00093CA9" w:rsidRDefault="00F33637" w:rsidP="00F33637">
            <w:pPr>
              <w:pStyle w:val="ListParagraph"/>
              <w:numPr>
                <w:ilvl w:val="0"/>
                <w:numId w:val="11"/>
              </w:numPr>
            </w:pPr>
            <w:hyperlink r:id="rId17" w:history="1">
              <w:r w:rsidRPr="00395FEF">
                <w:rPr>
                  <w:rStyle w:val="Hyperlink"/>
                </w:rPr>
                <w:t>https://web.archive.org/web/20250708101353/https://beeindia.gov.in/sites/default/files/CCTS.pdf</w:t>
              </w:r>
            </w:hyperlink>
            <w:r>
              <w:t xml:space="preserve"> </w:t>
            </w:r>
          </w:p>
          <w:p w14:paraId="1523C232" w14:textId="1C67E0BF" w:rsidR="00F33637" w:rsidRDefault="002E0075" w:rsidP="00F33637">
            <w:pPr>
              <w:pStyle w:val="ListParagraph"/>
              <w:numPr>
                <w:ilvl w:val="0"/>
                <w:numId w:val="11"/>
              </w:numPr>
            </w:pPr>
            <w:hyperlink r:id="rId18" w:history="1">
              <w:r w:rsidRPr="00395FEF">
                <w:rPr>
                  <w:rStyle w:val="Hyperlink"/>
                </w:rPr>
                <w:t>https://web.archive.org/web/20250708101831/https://beeindia.gov.in/sites/default/files/Detailed%20Procedure%20for%20Offset%20Mechanism_CCTS.pdf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65FA2C1" w:rsidR="00093CA9" w:rsidRDefault="00167A5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66B5D55" w14:textId="77777777" w:rsidR="00D715B2" w:rsidRDefault="00D715B2" w:rsidP="00D715B2">
            <w:pPr>
              <w:jc w:val="both"/>
            </w:pPr>
            <w:r>
              <w:t>The Carbon Credit Trading Scheme, 2023 (CCTS) is a statutory framework notified under the Energy Conservation Act, 2001, for the establishment of a domestic carbon market in India. It comprises two mechanisms:</w:t>
            </w:r>
          </w:p>
          <w:p w14:paraId="5575706C" w14:textId="77777777" w:rsidR="00D715B2" w:rsidRDefault="00D715B2" w:rsidP="00F7115C">
            <w:pPr>
              <w:pStyle w:val="ListParagraph"/>
              <w:numPr>
                <w:ilvl w:val="0"/>
                <w:numId w:val="3"/>
              </w:numPr>
              <w:jc w:val="both"/>
            </w:pPr>
            <w:r>
              <w:t>Compliance Mechanism, applicable to entities designated as obligated under sector-specific mandates; and</w:t>
            </w:r>
          </w:p>
          <w:p w14:paraId="22245093" w14:textId="77777777" w:rsidR="00D715B2" w:rsidRDefault="00D715B2" w:rsidP="00F7115C">
            <w:pPr>
              <w:pStyle w:val="ListParagraph"/>
              <w:numPr>
                <w:ilvl w:val="0"/>
                <w:numId w:val="3"/>
              </w:numPr>
              <w:jc w:val="both"/>
            </w:pPr>
            <w:r>
              <w:t>Offset Mechanism, which enables non-obligated entities to register activities involving greenhouse gas (GHG) reduction, avoidance, or removal for the issuance of Carbon Credit Certificates (CCCs).</w:t>
            </w:r>
          </w:p>
          <w:p w14:paraId="6F03087D" w14:textId="77777777" w:rsidR="00D715B2" w:rsidRDefault="00D715B2" w:rsidP="00D715B2">
            <w:pPr>
              <w:jc w:val="both"/>
            </w:pPr>
            <w:r>
              <w:t>The Offset Mechanism applies to sectors notified by the Central Government, including energy, transport, agriculture, waste, forestry, and carbon capture, utilisation and storage (CCUS). It includes procedures for project registration, methodology approval, third-party validation and verification, and monitoring and reporting of GHG mitigation outcomes.</w:t>
            </w:r>
          </w:p>
          <w:p w14:paraId="18257824" w14:textId="7BA2F196" w:rsidR="00093CA9" w:rsidRPr="00817C37" w:rsidRDefault="00D715B2" w:rsidP="00F7115C">
            <w:pPr>
              <w:jc w:val="both"/>
            </w:pPr>
            <w:r>
              <w:t>The CCTS is relevant to the carbon credit domain, as it provides a regulatory basis for the generation and trading of CCCs by voluntary actors, in addition to those covered under compliance obligations.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AE98BA4" w:rsidR="00093CA9" w:rsidRDefault="00F928A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713F4EC" w14:textId="77777777" w:rsidR="00BA2D3D" w:rsidRPr="00BA2D3D" w:rsidRDefault="00BA2D3D" w:rsidP="00BA2D3D">
            <w:pPr>
              <w:rPr>
                <w:color w:val="000000" w:themeColor="text1"/>
              </w:rPr>
            </w:pPr>
            <w:r w:rsidRPr="00BA2D3D">
              <w:rPr>
                <w:color w:val="000000" w:themeColor="text1"/>
              </w:rPr>
              <w:t>2023 (initial CCTS Notification S.O. 2825(E))</w:t>
            </w:r>
          </w:p>
          <w:p w14:paraId="22A2FF1A" w14:textId="43A7BDE7" w:rsidR="00093CA9" w:rsidRPr="00173D7C" w:rsidRDefault="00BA2D3D" w:rsidP="00BA2D3D">
            <w:pPr>
              <w:rPr>
                <w:color w:val="000000" w:themeColor="text1"/>
              </w:rPr>
            </w:pPr>
            <w:r w:rsidRPr="00BA2D3D">
              <w:rPr>
                <w:color w:val="000000" w:themeColor="text1"/>
              </w:rPr>
              <w:t>2023 (amended) to include Offset Mechanism via S.O. 5369(E)</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6D2BAAF" w:rsidR="00093CA9" w:rsidRPr="00173D7C" w:rsidRDefault="002E26A5" w:rsidP="00093CA9">
            <w:pPr>
              <w:rPr>
                <w:color w:val="000000" w:themeColor="text1"/>
              </w:rPr>
            </w:pPr>
            <w:r w:rsidRPr="002E26A5">
              <w:rPr>
                <w:color w:val="000000" w:themeColor="text1"/>
              </w:rPr>
              <w:t>2025 (Offset Mechanism operational via Detailed Procedure from 27 March 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51B1149" w:rsidR="00093CA9" w:rsidRDefault="00C07F6D" w:rsidP="00093CA9">
            <w:r w:rsidRPr="00C07F6D">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13B123" w:rsidR="00093CA9" w:rsidRPr="006B7B0D" w:rsidRDefault="00C07F6D" w:rsidP="00093CA9">
            <w:r w:rsidRPr="00C07F6D">
              <w:t>Bureau of Energy Efficiency (BEE)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854B25B" w:rsidR="00093CA9" w:rsidRPr="006B7B0D" w:rsidRDefault="00D715B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95487AA" w:rsidR="00093CA9" w:rsidRPr="006B7B0D" w:rsidRDefault="00242B2E" w:rsidP="00093CA9">
            <w:r w:rsidRPr="00242B2E">
              <w:t>National Steering Committee for Indian Carbon Market (NSC-ICM)</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8D76C6B" w:rsidR="00093CA9" w:rsidRPr="006B7B0D" w:rsidRDefault="00691A6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7A062B1" w:rsidR="00093CA9" w:rsidRPr="006B7B0D" w:rsidRDefault="00691A69" w:rsidP="00093CA9">
            <w:r w:rsidRPr="00691A69">
              <w:t>ACVAs (Accredited Carbon Verification Agencies)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6738930" w:rsidR="00093CA9" w:rsidRPr="006B7B0D" w:rsidRDefault="00691A69"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65A7B7D4" w:rsidR="00093CA9" w:rsidRPr="006B7B0D" w:rsidRDefault="00D715B2"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4B8493BF" w:rsidR="00093CA9" w:rsidRPr="006B7B0D" w:rsidRDefault="00D715B2" w:rsidP="00093CA9">
            <w:r>
              <w:t>NA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687B4EE9" w14:textId="77777777" w:rsidR="00D715B2" w:rsidRPr="00D715B2" w:rsidRDefault="00D715B2" w:rsidP="00D715B2">
            <w:pPr>
              <w:jc w:val="both"/>
              <w:rPr>
                <w:lang w:val="en-IN"/>
              </w:rPr>
            </w:pPr>
            <w:r w:rsidRPr="00D715B2">
              <w:rPr>
                <w:lang w:val="en-IN"/>
              </w:rPr>
              <w:t>The implementation of the Offset Mechanism under the CCTS involves the following authorities, each with defined functions:</w:t>
            </w:r>
          </w:p>
          <w:p w14:paraId="58DD775A" w14:textId="77777777" w:rsidR="00D715B2" w:rsidRPr="00D715B2" w:rsidRDefault="00D715B2" w:rsidP="00D715B2">
            <w:pPr>
              <w:jc w:val="both"/>
              <w:rPr>
                <w:lang w:val="en-IN"/>
              </w:rPr>
            </w:pPr>
            <w:r w:rsidRPr="00D715B2">
              <w:rPr>
                <w:lang w:val="en-IN"/>
              </w:rPr>
              <w:t>a) Bureau of Energy Efficiency (BEE): Acts as the Administrator for the Offset Mechanism. It is responsible for account registration, project approvals, publication of approved methodologies, and issuance of CCCs. BEE manages the Indian Carbon Market (ICM) portal and ensures procedural compliance.</w:t>
            </w:r>
          </w:p>
          <w:p w14:paraId="6DC67455" w14:textId="77777777" w:rsidR="00D715B2" w:rsidRPr="00D715B2" w:rsidRDefault="00D715B2" w:rsidP="00D715B2">
            <w:pPr>
              <w:jc w:val="both"/>
              <w:rPr>
                <w:lang w:val="en-IN"/>
              </w:rPr>
            </w:pPr>
            <w:r w:rsidRPr="00D715B2">
              <w:rPr>
                <w:lang w:val="en-IN"/>
              </w:rPr>
              <w:lastRenderedPageBreak/>
              <w:t>b) National Steering Committee for Indian Carbon Market (NSC-ICM): Serves as the inter-ministerial oversight body. It approves sectoral scopes and methodologies and authorises the issuance of CCCs based on BEE’s recommendation.</w:t>
            </w:r>
          </w:p>
          <w:p w14:paraId="42D06D03" w14:textId="2973FB1B" w:rsidR="00093CA9" w:rsidRPr="00F7115C" w:rsidRDefault="00D715B2" w:rsidP="00F7115C">
            <w:pPr>
              <w:jc w:val="both"/>
              <w:rPr>
                <w:lang w:val="en-IN"/>
              </w:rPr>
            </w:pPr>
            <w:r w:rsidRPr="00D715B2">
              <w:rPr>
                <w:lang w:val="en-IN"/>
              </w:rPr>
              <w:t>c) Accredited Carbon Verification Agencies (ACVAs): Independent third-party entities accredited by BEE to perform validation and verification of projects. Issuance of CCCs is contingent upon successful verification by an ACVA.</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139531F" w:rsidR="00093CA9" w:rsidRDefault="004176A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428F90E" w14:textId="77777777" w:rsidR="00D715B2" w:rsidRPr="00D715B2" w:rsidRDefault="00D715B2" w:rsidP="00F7115C">
            <w:pPr>
              <w:jc w:val="both"/>
              <w:rPr>
                <w:color w:val="000000" w:themeColor="text1"/>
              </w:rPr>
            </w:pPr>
            <w:r w:rsidRPr="00D715B2">
              <w:rPr>
                <w:color w:val="000000" w:themeColor="text1"/>
              </w:rPr>
              <w:t>Yes. The monitoring system under the Offset Mechanism is set out in Section A6.1 of the Detailed Procedure. Non-obligated entities are required to monitor project performance in accordance with the monitoring plan submitted as part of the Project Design Document (PDD).</w:t>
            </w:r>
          </w:p>
          <w:p w14:paraId="2C2128DB" w14:textId="608773C5" w:rsidR="00093CA9" w:rsidRPr="004176AC" w:rsidRDefault="00D715B2" w:rsidP="00F7115C">
            <w:pPr>
              <w:keepNext/>
              <w:jc w:val="both"/>
              <w:rPr>
                <w:color w:val="000000" w:themeColor="text1"/>
              </w:rPr>
            </w:pPr>
            <w:r w:rsidRPr="00D715B2">
              <w:rPr>
                <w:color w:val="000000" w:themeColor="text1"/>
              </w:rPr>
              <w:t>Monitoring data is subject to third-party verification by Accredited Carbon Verification Agencies (ACVAs), which prepare verification reports assessing the achieved emission reductions or removals. These reports are reviewed by BEE, and CCCs are issued only upon successful verification.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7115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7115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7115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6F934DE" w:rsidR="00D4323A" w:rsidRPr="00CF2E7C" w:rsidRDefault="00D56C47"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C90D099" w:rsidR="00D4323A" w:rsidRPr="00CF2E7C" w:rsidRDefault="00C13A38" w:rsidP="00CF2E7C">
            <w:pPr>
              <w:rPr>
                <w:rFonts w:ascii="Calibri" w:hAnsi="Calibri" w:cs="Calibri"/>
              </w:rPr>
            </w:pPr>
            <w:r>
              <w:rPr>
                <w:rFonts w:ascii="Calibri" w:hAnsi="Calibri" w:cs="Calibri"/>
              </w:rPr>
              <w:t>X</w:t>
            </w:r>
          </w:p>
        </w:tc>
        <w:tc>
          <w:tcPr>
            <w:tcW w:w="1723" w:type="dxa"/>
            <w:vAlign w:val="center"/>
          </w:tcPr>
          <w:p w14:paraId="761CE175" w14:textId="0B96136A"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66AA1FC" w:rsidR="00D4323A" w:rsidRPr="00CF2E7C" w:rsidRDefault="00D56C47"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0F831E4" w:rsidR="00D4323A" w:rsidRPr="00CF2E7C" w:rsidRDefault="00D56C47"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1DA7EC0B" w:rsidR="00D4323A" w:rsidRPr="00CF2E7C" w:rsidRDefault="00D56C47"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A2AF625" w:rsidR="00D4323A" w:rsidRPr="00CF2E7C" w:rsidRDefault="00D56C47"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EF589CD" w:rsidR="00D4323A" w:rsidRPr="00CF2E7C" w:rsidRDefault="00D56C47"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81E0DB2" w:rsidR="00D4323A" w:rsidRPr="00CF2E7C" w:rsidRDefault="00D56C47"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FC9E8B1" w:rsidR="00D4323A" w:rsidRPr="00CF2E7C" w:rsidRDefault="00D56C47"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66DA679C" w:rsidR="00D4323A" w:rsidRPr="00CF2E7C" w:rsidRDefault="00D56C47"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F3DCA1A" w:rsidR="00D4323A" w:rsidRPr="00CF2E7C" w:rsidRDefault="00D56C47"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620D2A68" w:rsidR="00D4323A" w:rsidRPr="00CF2E7C" w:rsidRDefault="004A6228"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lastRenderedPageBreak/>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3F5FF46C" w:rsidR="00D4323A" w:rsidRPr="00CF2E7C" w:rsidRDefault="00C73937"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4383C200" w:rsidR="00092534" w:rsidRPr="00CF2E7C" w:rsidRDefault="00333ED6"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5E737BCB" w:rsidR="00092534" w:rsidRPr="00CF2E7C" w:rsidRDefault="00267681"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69401687" w:rsidR="00092534" w:rsidRPr="00CF2E7C" w:rsidRDefault="00267681"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3F588760" w:rsidR="00092534" w:rsidRPr="00CF2E7C" w:rsidRDefault="00267681"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2F6A9CD9" w:rsidR="00092534" w:rsidRPr="00CF2E7C" w:rsidRDefault="00267681"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C552B10" w:rsidR="00092534" w:rsidRPr="00CF2E7C" w:rsidRDefault="00267681"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lastRenderedPageBreak/>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FB5FD81" w:rsidR="00092534" w:rsidRPr="00CF2E7C" w:rsidRDefault="00267681"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A967358" w:rsidR="00092534" w:rsidRPr="00CF2E7C" w:rsidRDefault="00267681"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9C2836A" w:rsidR="00092534" w:rsidRPr="00CF2E7C" w:rsidRDefault="00267681"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924A270" w:rsidR="00092534" w:rsidRPr="00CF2E7C" w:rsidRDefault="00267681"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CD78C4C" w:rsidR="00092534" w:rsidRPr="00CF2E7C" w:rsidRDefault="00267681"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CECB629" w:rsidR="00092534" w:rsidRPr="00CF2E7C" w:rsidRDefault="00267681"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4CE2DCC" w:rsidR="00092534" w:rsidRPr="00CF2E7C" w:rsidRDefault="003E2781"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2828A34" w:rsidR="00092534" w:rsidRPr="00CF2E7C" w:rsidRDefault="003E2781"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1D951FAA" w:rsidR="00092534" w:rsidRPr="00CF2E7C" w:rsidRDefault="003E2781"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2A554BD" w:rsidR="00092534" w:rsidRPr="00CF2E7C" w:rsidRDefault="003E2781"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0C43F86E" w:rsidR="00092534" w:rsidRPr="00CF2E7C" w:rsidRDefault="003E2781"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53F68C8" w:rsidR="00092534" w:rsidRPr="00CF2E7C" w:rsidRDefault="003E2781"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1E358B64" w:rsidR="00092534" w:rsidRPr="00CF2E7C" w:rsidRDefault="003E2781"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1C23936" w:rsidR="00092534" w:rsidRPr="00CF2E7C" w:rsidRDefault="003E2781"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59671091" w:rsidR="00092534" w:rsidRPr="00CF2E7C" w:rsidRDefault="00092534" w:rsidP="00CF2E7C">
            <w:pPr>
              <w:rPr>
                <w:rFonts w:ascii="Calibri" w:hAnsi="Calibri" w:cs="Calibri"/>
              </w:rPr>
            </w:pPr>
          </w:p>
        </w:tc>
        <w:tc>
          <w:tcPr>
            <w:tcW w:w="1723" w:type="dxa"/>
            <w:vAlign w:val="center"/>
          </w:tcPr>
          <w:p w14:paraId="5CFEB38B" w14:textId="0FC158A0" w:rsidR="00092534" w:rsidRPr="00CF2E7C" w:rsidRDefault="003E2781"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3014FC2A" w:rsidR="00092534" w:rsidRPr="00CF2E7C" w:rsidRDefault="003E2781" w:rsidP="00CF2E7C">
            <w:pPr>
              <w:rPr>
                <w:rFonts w:ascii="Calibri" w:hAnsi="Calibri" w:cs="Calibri"/>
              </w:rPr>
            </w:pPr>
            <w:r>
              <w:rPr>
                <w:rFonts w:ascii="Calibri" w:hAnsi="Calibri" w:cs="Calibri"/>
              </w:rPr>
              <w:t>X</w:t>
            </w: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187F322" w14:textId="600947AE" w:rsidR="00C13A38" w:rsidRPr="00C13A38" w:rsidRDefault="00C13A38" w:rsidP="00F7115C">
            <w:pPr>
              <w:jc w:val="both"/>
              <w:rPr>
                <w:rFonts w:ascii="Calibri" w:hAnsi="Calibri" w:cs="Calibri"/>
                <w:lang w:val="en-IN"/>
              </w:rPr>
            </w:pPr>
            <w:r w:rsidRPr="00C13A38">
              <w:rPr>
                <w:rFonts w:ascii="Calibri" w:hAnsi="Calibri" w:cs="Calibri"/>
                <w:lang w:val="en-IN"/>
              </w:rPr>
              <w:t xml:space="preserve">The </w:t>
            </w:r>
            <w:r w:rsidRPr="00F7115C">
              <w:rPr>
                <w:rFonts w:ascii="Calibri" w:hAnsi="Calibri" w:cs="Calibri"/>
                <w:lang w:val="en-IN"/>
              </w:rPr>
              <w:t>Offset Mechanism</w:t>
            </w:r>
            <w:r w:rsidRPr="00C13A38">
              <w:rPr>
                <w:rFonts w:ascii="Calibri" w:hAnsi="Calibri" w:cs="Calibri"/>
                <w:lang w:val="en-IN"/>
              </w:rPr>
              <w:t xml:space="preserve"> under the </w:t>
            </w:r>
            <w:r w:rsidRPr="00F7115C">
              <w:rPr>
                <w:rFonts w:ascii="Calibri" w:hAnsi="Calibri" w:cs="Calibri"/>
                <w:lang w:val="en-IN"/>
              </w:rPr>
              <w:t>CCTS</w:t>
            </w:r>
            <w:r w:rsidRPr="00C13A38">
              <w:rPr>
                <w:rFonts w:ascii="Calibri" w:hAnsi="Calibri" w:cs="Calibri"/>
                <w:lang w:val="en-IN"/>
              </w:rPr>
              <w:t xml:space="preserve"> applies to project activities undertaken in specific </w:t>
            </w:r>
            <w:r w:rsidRPr="00F7115C">
              <w:rPr>
                <w:rFonts w:ascii="Calibri" w:hAnsi="Calibri" w:cs="Calibri"/>
                <w:lang w:val="en-IN"/>
              </w:rPr>
              <w:t>sectors and sub-sectors</w:t>
            </w:r>
            <w:r w:rsidRPr="00C13A38">
              <w:rPr>
                <w:rFonts w:ascii="Calibri" w:hAnsi="Calibri" w:cs="Calibri"/>
                <w:lang w:val="en-IN"/>
              </w:rPr>
              <w:t xml:space="preserve"> as notified by the </w:t>
            </w:r>
            <w:r w:rsidRPr="00F7115C">
              <w:rPr>
                <w:rFonts w:ascii="Calibri" w:hAnsi="Calibri" w:cs="Calibri"/>
                <w:lang w:val="en-IN"/>
              </w:rPr>
              <w:t>Central Government</w:t>
            </w:r>
            <w:r w:rsidRPr="00C13A38">
              <w:rPr>
                <w:rFonts w:ascii="Calibri" w:hAnsi="Calibri" w:cs="Calibri"/>
                <w:lang w:val="en-IN"/>
              </w:rPr>
              <w:t>. These include:</w:t>
            </w:r>
          </w:p>
          <w:p w14:paraId="60360313" w14:textId="1320D79B" w:rsidR="00C13A38" w:rsidRPr="00F7115C"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Energy – including energy industries (renewable and non-renewable), energy distribution, and energy demand;</w:t>
            </w:r>
          </w:p>
          <w:p w14:paraId="5CDB73A5"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Industries – including manufacturing, chemical industries, mining and mineral production, and metal production;</w:t>
            </w:r>
          </w:p>
          <w:p w14:paraId="771C3A32"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Waste handling and disposal;</w:t>
            </w:r>
          </w:p>
          <w:p w14:paraId="0AA92546"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Agriculture;</w:t>
            </w:r>
          </w:p>
          <w:p w14:paraId="54F8BE2E"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Forestry – limited to afforestation and reforestation activities;</w:t>
            </w:r>
          </w:p>
          <w:p w14:paraId="60B3A9A4"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lastRenderedPageBreak/>
              <w:t>Transport;</w:t>
            </w:r>
          </w:p>
          <w:p w14:paraId="22F0FE8C"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Construction;</w:t>
            </w:r>
          </w:p>
          <w:p w14:paraId="2DFF1810"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Fugitive emissions – from fuels (solid, oil, and gas) and industrial gases (e.g., halocarbons, sulphur hexafluoride);</w:t>
            </w:r>
          </w:p>
          <w:p w14:paraId="69B2634C" w14:textId="77777777" w:rsidR="00C13A38"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Solvent use; and</w:t>
            </w:r>
          </w:p>
          <w:p w14:paraId="07874B2D" w14:textId="0BB676A0" w:rsidR="00C13A38" w:rsidRPr="00F7115C" w:rsidRDefault="00C13A38" w:rsidP="00F7115C">
            <w:pPr>
              <w:pStyle w:val="ListParagraph"/>
              <w:numPr>
                <w:ilvl w:val="0"/>
                <w:numId w:val="4"/>
              </w:numPr>
              <w:jc w:val="both"/>
              <w:rPr>
                <w:rFonts w:ascii="Calibri" w:hAnsi="Calibri" w:cs="Calibri"/>
                <w:lang w:val="en-IN"/>
              </w:rPr>
            </w:pPr>
            <w:r w:rsidRPr="00F7115C">
              <w:rPr>
                <w:rFonts w:ascii="Calibri" w:hAnsi="Calibri" w:cs="Calibri"/>
                <w:lang w:val="en-IN"/>
              </w:rPr>
              <w:t>Carbon Capture, Utilisation and Storage (CCUS) – including CO₂ and other GHG removals.</w:t>
            </w:r>
          </w:p>
          <w:p w14:paraId="6C5BBF82" w14:textId="77777777" w:rsidR="00C13A38" w:rsidRPr="00C13A38" w:rsidRDefault="00C13A38" w:rsidP="00F7115C">
            <w:pPr>
              <w:jc w:val="both"/>
              <w:rPr>
                <w:rFonts w:ascii="Calibri" w:hAnsi="Calibri" w:cs="Calibri"/>
                <w:lang w:val="en-IN"/>
              </w:rPr>
            </w:pPr>
            <w:r w:rsidRPr="00C13A38">
              <w:rPr>
                <w:rFonts w:ascii="Calibri" w:hAnsi="Calibri" w:cs="Calibri"/>
                <w:lang w:val="en-IN"/>
              </w:rPr>
              <w:t>These sectors have been identified as eligible for registration of emission reduction, avoidance, or removal activities under the Offset Mechanism.</w:t>
            </w:r>
          </w:p>
          <w:p w14:paraId="11743748" w14:textId="5A427811" w:rsidR="00092534" w:rsidRPr="008013AF" w:rsidRDefault="00092534" w:rsidP="00F7115C">
            <w:pPr>
              <w:jc w:val="both"/>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lastRenderedPageBreak/>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FE9A6F4" w:rsidR="00092534" w:rsidRPr="00CF2E7C" w:rsidRDefault="00C13A38" w:rsidP="00CF2E7C">
            <w:pPr>
              <w:rPr>
                <w:rFonts w:ascii="Calibri" w:hAnsi="Calibri" w:cs="Calibri"/>
              </w:rPr>
            </w:pPr>
            <w:r>
              <w:rPr>
                <w:rFonts w:ascii="Calibri" w:hAnsi="Calibri" w:cs="Calibri"/>
              </w:rPr>
              <w:t>Please refer to response in 4.3.23.</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7115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51EC7EF" w:rsidR="00092534" w:rsidRPr="00CF2E7C" w:rsidRDefault="00D21F18" w:rsidP="00CF2E7C">
            <w:pPr>
              <w:rPr>
                <w:rFonts w:ascii="Calibri" w:hAnsi="Calibri" w:cs="Calibri"/>
              </w:rPr>
            </w:pPr>
            <w:r w:rsidRPr="00D21F18">
              <w:rPr>
                <w:rFonts w:ascii="Calibri" w:hAnsi="Calibri" w:cs="Calibri"/>
              </w:rPr>
              <w:t>Registration is open to Indian entities only</w:t>
            </w:r>
            <w:r>
              <w:rPr>
                <w:rFonts w:ascii="Calibri" w:hAnsi="Calibri" w:cs="Calibri"/>
              </w:rPr>
              <w:t>.</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69BDC63" w:rsidR="00092534" w:rsidRPr="00CF2E7C" w:rsidRDefault="00B36603"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lastRenderedPageBreak/>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AC201AA" w:rsidR="00DB1E72" w:rsidRPr="00CF2E7C" w:rsidRDefault="00B36603"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5ABF2F59" w:rsidR="00C13A38" w:rsidRPr="00B36603" w:rsidRDefault="00C13A38" w:rsidP="00F7115C">
            <w:pPr>
              <w:jc w:val="both"/>
              <w:rPr>
                <w:rFonts w:ascii="Calibri" w:hAnsi="Calibri" w:cs="Calibri"/>
              </w:rPr>
            </w:pPr>
            <w:r w:rsidRPr="00C13A38">
              <w:rPr>
                <w:rFonts w:ascii="Calibri" w:hAnsi="Calibri" w:cs="Calibri"/>
              </w:rPr>
              <w:t>The Offset Mechanism under the CCTS is a voluntary instrument. Accordingly, no statutory or monetary penalties are prescribed for non-participation or withdrawal. However, as per Section A7.1 and A7.2 of the Detailed Procedure for the Offset Mechanism, once a project is registered, failure to comply with verification requirements, monitoring obligations, or documentation standards may result in rejection, disqualification, or withdrawal of the project from the registry. These procedural consequences are administrative in nature and do not amount to punitive sanctions.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1EE83AB" w:rsidR="00092534" w:rsidRPr="00CF2E7C" w:rsidRDefault="00F53051"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F45D93" w14:textId="10B709D9" w:rsidR="003E52BF" w:rsidRPr="003E52BF" w:rsidRDefault="003E52BF" w:rsidP="003E52BF">
            <w:pPr>
              <w:jc w:val="both"/>
              <w:rPr>
                <w:rFonts w:ascii="Calibri" w:hAnsi="Calibri" w:cs="Calibri"/>
                <w:lang w:val="en-IN"/>
              </w:rPr>
            </w:pPr>
            <w:r w:rsidRPr="003E52BF">
              <w:rPr>
                <w:rFonts w:ascii="Calibri" w:hAnsi="Calibri" w:cs="Calibri"/>
                <w:lang w:val="en-IN"/>
              </w:rPr>
              <w:t xml:space="preserve">The </w:t>
            </w:r>
            <w:r w:rsidRPr="00F7115C">
              <w:rPr>
                <w:rFonts w:ascii="Calibri" w:hAnsi="Calibri" w:cs="Calibri"/>
                <w:lang w:val="en-IN"/>
              </w:rPr>
              <w:t>Offset Mechanism</w:t>
            </w:r>
            <w:r w:rsidRPr="003E52BF">
              <w:rPr>
                <w:rFonts w:ascii="Calibri" w:hAnsi="Calibri" w:cs="Calibri"/>
                <w:lang w:val="en-IN"/>
              </w:rPr>
              <w:t xml:space="preserve"> </w:t>
            </w:r>
            <w:r>
              <w:rPr>
                <w:rFonts w:ascii="Calibri" w:hAnsi="Calibri" w:cs="Calibri"/>
                <w:lang w:val="en-IN"/>
              </w:rPr>
              <w:t xml:space="preserve">is in the process of </w:t>
            </w:r>
            <w:r w:rsidRPr="003E52BF">
              <w:rPr>
                <w:rFonts w:ascii="Calibri" w:hAnsi="Calibri" w:cs="Calibri"/>
                <w:lang w:val="en-IN"/>
              </w:rPr>
              <w:t>be</w:t>
            </w:r>
            <w:r>
              <w:rPr>
                <w:rFonts w:ascii="Calibri" w:hAnsi="Calibri" w:cs="Calibri"/>
                <w:lang w:val="en-IN"/>
              </w:rPr>
              <w:t>ing</w:t>
            </w:r>
            <w:r w:rsidRPr="003E52BF">
              <w:rPr>
                <w:rFonts w:ascii="Calibri" w:hAnsi="Calibri" w:cs="Calibri"/>
                <w:lang w:val="en-IN"/>
              </w:rPr>
              <w:t xml:space="preserve"> formally operationalised through multiple regulatory instruments. </w:t>
            </w:r>
            <w:r>
              <w:rPr>
                <w:rFonts w:ascii="Calibri" w:hAnsi="Calibri" w:cs="Calibri"/>
                <w:lang w:val="en-IN"/>
              </w:rPr>
              <w:t>As of now the following instruments have been issued under in furtherance of the Offset Mechanism</w:t>
            </w:r>
            <w:r w:rsidRPr="003E52BF">
              <w:rPr>
                <w:rFonts w:ascii="Calibri" w:hAnsi="Calibri" w:cs="Calibri"/>
                <w:lang w:val="en-IN"/>
              </w:rPr>
              <w:t>:</w:t>
            </w:r>
          </w:p>
          <w:p w14:paraId="66B69915" w14:textId="77777777" w:rsidR="003E52BF" w:rsidRPr="003E52BF" w:rsidRDefault="003E52BF" w:rsidP="00F7115C">
            <w:pPr>
              <w:numPr>
                <w:ilvl w:val="0"/>
                <w:numId w:val="5"/>
              </w:numPr>
              <w:tabs>
                <w:tab w:val="num" w:pos="720"/>
              </w:tabs>
              <w:jc w:val="both"/>
              <w:rPr>
                <w:rFonts w:ascii="Calibri" w:hAnsi="Calibri" w:cs="Calibri"/>
                <w:lang w:val="en-IN"/>
              </w:rPr>
            </w:pPr>
            <w:r w:rsidRPr="003E52BF">
              <w:rPr>
                <w:rFonts w:ascii="Calibri" w:hAnsi="Calibri" w:cs="Calibri"/>
                <w:lang w:val="en-IN"/>
              </w:rPr>
              <w:t xml:space="preserve">The </w:t>
            </w:r>
            <w:r w:rsidRPr="00F7115C">
              <w:rPr>
                <w:rFonts w:ascii="Calibri" w:hAnsi="Calibri" w:cs="Calibri"/>
                <w:lang w:val="en-IN"/>
              </w:rPr>
              <w:t>Central Government</w:t>
            </w:r>
            <w:r w:rsidRPr="003E52BF">
              <w:rPr>
                <w:rFonts w:ascii="Calibri" w:hAnsi="Calibri" w:cs="Calibri"/>
                <w:lang w:val="en-IN"/>
              </w:rPr>
              <w:t xml:space="preserve"> notified the Offset Mechanism under </w:t>
            </w:r>
            <w:r w:rsidRPr="00F7115C">
              <w:rPr>
                <w:rFonts w:ascii="Calibri" w:hAnsi="Calibri" w:cs="Calibri"/>
                <w:lang w:val="en-IN"/>
              </w:rPr>
              <w:t>S.O. 5369(E), dated 19 December 2023</w:t>
            </w:r>
            <w:r w:rsidRPr="003E52BF">
              <w:rPr>
                <w:rFonts w:ascii="Calibri" w:hAnsi="Calibri" w:cs="Calibri"/>
                <w:lang w:val="en-IN"/>
              </w:rPr>
              <w:t>, in exercise of powers under Section 14Y of the Energy Conservation Act, 2001;</w:t>
            </w:r>
          </w:p>
          <w:p w14:paraId="061B9BD1" w14:textId="77777777" w:rsidR="003E52BF" w:rsidRPr="003E52BF" w:rsidRDefault="003E52BF" w:rsidP="00F7115C">
            <w:pPr>
              <w:numPr>
                <w:ilvl w:val="0"/>
                <w:numId w:val="5"/>
              </w:numPr>
              <w:tabs>
                <w:tab w:val="num" w:pos="720"/>
              </w:tabs>
              <w:jc w:val="both"/>
              <w:rPr>
                <w:rFonts w:ascii="Calibri" w:hAnsi="Calibri" w:cs="Calibri"/>
                <w:lang w:val="en-IN"/>
              </w:rPr>
            </w:pPr>
            <w:r w:rsidRPr="003E52BF">
              <w:rPr>
                <w:rFonts w:ascii="Calibri" w:hAnsi="Calibri" w:cs="Calibri"/>
                <w:lang w:val="en-IN"/>
              </w:rPr>
              <w:t xml:space="preserve">The </w:t>
            </w:r>
            <w:r w:rsidRPr="00F7115C">
              <w:rPr>
                <w:rFonts w:ascii="Calibri" w:hAnsi="Calibri" w:cs="Calibri"/>
                <w:lang w:val="en-IN"/>
              </w:rPr>
              <w:t>Detailed Procedure for the Offset Mechanism</w:t>
            </w:r>
            <w:r w:rsidRPr="003E52BF">
              <w:rPr>
                <w:rFonts w:ascii="Calibri" w:hAnsi="Calibri" w:cs="Calibri"/>
                <w:lang w:val="en-IN"/>
              </w:rPr>
              <w:t xml:space="preserve"> was issued by the </w:t>
            </w:r>
            <w:r w:rsidRPr="00F7115C">
              <w:rPr>
                <w:rFonts w:ascii="Calibri" w:hAnsi="Calibri" w:cs="Calibri"/>
                <w:lang w:val="en-IN"/>
              </w:rPr>
              <w:t>Bureau of Energy Efficiency (BEE)</w:t>
            </w:r>
            <w:r w:rsidRPr="003E52BF">
              <w:rPr>
                <w:rFonts w:ascii="Calibri" w:hAnsi="Calibri" w:cs="Calibri"/>
                <w:lang w:val="en-IN"/>
              </w:rPr>
              <w:t xml:space="preserve"> and became effective on </w:t>
            </w:r>
            <w:r w:rsidRPr="00F7115C">
              <w:rPr>
                <w:rFonts w:ascii="Calibri" w:hAnsi="Calibri" w:cs="Calibri"/>
                <w:lang w:val="en-IN"/>
              </w:rPr>
              <w:t>27 March 2025</w:t>
            </w:r>
            <w:r w:rsidRPr="003E52BF">
              <w:rPr>
                <w:rFonts w:ascii="Calibri" w:hAnsi="Calibri" w:cs="Calibri"/>
                <w:lang w:val="en-IN"/>
              </w:rPr>
              <w:t>;</w:t>
            </w:r>
          </w:p>
          <w:p w14:paraId="6C354497" w14:textId="77777777" w:rsidR="003E52BF" w:rsidRPr="003E52BF" w:rsidRDefault="003E52BF" w:rsidP="00F7115C">
            <w:pPr>
              <w:numPr>
                <w:ilvl w:val="0"/>
                <w:numId w:val="5"/>
              </w:numPr>
              <w:tabs>
                <w:tab w:val="num" w:pos="720"/>
              </w:tabs>
              <w:jc w:val="both"/>
              <w:rPr>
                <w:rFonts w:ascii="Calibri" w:hAnsi="Calibri" w:cs="Calibri"/>
                <w:lang w:val="en-IN"/>
              </w:rPr>
            </w:pPr>
            <w:r w:rsidRPr="003E52BF">
              <w:rPr>
                <w:rFonts w:ascii="Calibri" w:hAnsi="Calibri" w:cs="Calibri"/>
                <w:lang w:val="en-IN"/>
              </w:rPr>
              <w:t xml:space="preserve">An official list of </w:t>
            </w:r>
            <w:r w:rsidRPr="00F7115C">
              <w:rPr>
                <w:rFonts w:ascii="Calibri" w:hAnsi="Calibri" w:cs="Calibri"/>
                <w:lang w:val="en-IN"/>
              </w:rPr>
              <w:t>approved sectors and sub-sectors</w:t>
            </w:r>
            <w:r w:rsidRPr="003E52BF">
              <w:rPr>
                <w:rFonts w:ascii="Calibri" w:hAnsi="Calibri" w:cs="Calibri"/>
                <w:lang w:val="en-IN"/>
              </w:rPr>
              <w:t xml:space="preserve"> eligible for registration of offset projects was notified by the </w:t>
            </w:r>
            <w:r w:rsidRPr="00F7115C">
              <w:rPr>
                <w:rFonts w:ascii="Calibri" w:hAnsi="Calibri" w:cs="Calibri"/>
                <w:lang w:val="en-IN"/>
              </w:rPr>
              <w:t>BEE Office Memorandum dated 20 September 2024</w:t>
            </w:r>
            <w:r w:rsidRPr="003E52BF">
              <w:rPr>
                <w:rFonts w:ascii="Calibri" w:hAnsi="Calibri" w:cs="Calibri"/>
                <w:lang w:val="en-IN"/>
              </w:rPr>
              <w:t>.</w:t>
            </w:r>
          </w:p>
          <w:p w14:paraId="4E9BC062" w14:textId="77777777" w:rsidR="00092534" w:rsidRPr="00CF2E7C" w:rsidRDefault="00092534" w:rsidP="00F7115C">
            <w:pPr>
              <w:jc w:val="both"/>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2E960D3" w:rsidR="00092534" w:rsidRPr="00CF2E7C" w:rsidRDefault="00D07A3A"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3B5B699" w:rsidR="00D46B07" w:rsidRPr="00CF2E7C" w:rsidRDefault="00AC3F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DE56F87" w:rsidR="00D46B07" w:rsidRPr="00CF2E7C" w:rsidRDefault="00AC3F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709109E6" w:rsidR="00D46B07" w:rsidRPr="00CF2E7C" w:rsidRDefault="00AC3F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680EC08" w:rsidR="00D46B07" w:rsidRPr="00CF2E7C" w:rsidRDefault="00E374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9D1250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9790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420336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E65B8">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7F9E67F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E65B8">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223B6C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5B0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B7D11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5B0D">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1281D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5B0D">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41D59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5B0D">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2951C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5B0D">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4DCAF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E5B0D">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C4F73" w14:textId="054FA308" w:rsidR="00AD1ED6" w:rsidRPr="00AD1ED6" w:rsidRDefault="00AD1ED6" w:rsidP="00AD1ED6">
            <w:p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The CCTS mandates the use of a national registry for the Indian carbon market. As per Rule 6(1) of the CCTS Notification, the Grid Controller of India Limited is designated as the official Registry.</w:t>
            </w:r>
          </w:p>
          <w:p w14:paraId="0EF09931" w14:textId="77777777" w:rsidR="00AD1ED6" w:rsidRPr="00AD1ED6" w:rsidRDefault="00AD1ED6" w:rsidP="00AD1ED6">
            <w:pPr>
              <w:jc w:val="both"/>
              <w:textAlignment w:val="baseline"/>
              <w:rPr>
                <w:rFonts w:ascii="Calibri" w:eastAsia="Times New Roman" w:hAnsi="Calibri" w:cs="Calibri"/>
                <w:kern w:val="0"/>
                <w:lang w:eastAsia="en-GB"/>
                <w14:ligatures w14:val="none"/>
              </w:rPr>
            </w:pPr>
          </w:p>
          <w:p w14:paraId="3F3198EF" w14:textId="77777777" w:rsidR="00AD1ED6" w:rsidRPr="00AD1ED6" w:rsidRDefault="00AD1ED6" w:rsidP="00AD1ED6">
            <w:p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Under Rule 6(2), the Registry is required to:</w:t>
            </w:r>
          </w:p>
          <w:p w14:paraId="58244655" w14:textId="77777777" w:rsidR="00AD1ED6" w:rsidRPr="00AD1ED6" w:rsidRDefault="00AD1ED6" w:rsidP="00F7115C">
            <w:pPr>
              <w:pStyle w:val="ListParagraph"/>
              <w:numPr>
                <w:ilvl w:val="0"/>
                <w:numId w:val="6"/>
              </w:num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 xml:space="preserve">Register obligated and non-obligated entities participating in the carbon </w:t>
            </w:r>
            <w:proofErr w:type="gramStart"/>
            <w:r w:rsidRPr="00AD1ED6">
              <w:rPr>
                <w:rFonts w:ascii="Calibri" w:eastAsia="Times New Roman" w:hAnsi="Calibri" w:cs="Calibri"/>
                <w:kern w:val="0"/>
                <w:lang w:eastAsia="en-GB"/>
                <w14:ligatures w14:val="none"/>
              </w:rPr>
              <w:t>market;</w:t>
            </w:r>
            <w:proofErr w:type="gramEnd"/>
          </w:p>
          <w:p w14:paraId="7A25275E" w14:textId="49743C57" w:rsidR="00AD1ED6" w:rsidRPr="00AD1ED6" w:rsidRDefault="00AD1ED6" w:rsidP="00F7115C">
            <w:pPr>
              <w:pStyle w:val="ListParagraph"/>
              <w:numPr>
                <w:ilvl w:val="0"/>
                <w:numId w:val="6"/>
              </w:num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 xml:space="preserve">Maintain secure records of CCC issuance, transfer, and </w:t>
            </w:r>
            <w:proofErr w:type="gramStart"/>
            <w:r w:rsidRPr="00AD1ED6">
              <w:rPr>
                <w:rFonts w:ascii="Calibri" w:eastAsia="Times New Roman" w:hAnsi="Calibri" w:cs="Calibri"/>
                <w:kern w:val="0"/>
                <w:lang w:eastAsia="en-GB"/>
                <w14:ligatures w14:val="none"/>
              </w:rPr>
              <w:t>retirement;</w:t>
            </w:r>
            <w:proofErr w:type="gramEnd"/>
          </w:p>
          <w:p w14:paraId="6823373F" w14:textId="77777777" w:rsidR="00AD1ED6" w:rsidRPr="00AD1ED6" w:rsidRDefault="00AD1ED6" w:rsidP="00F7115C">
            <w:pPr>
              <w:pStyle w:val="ListParagraph"/>
              <w:numPr>
                <w:ilvl w:val="0"/>
                <w:numId w:val="6"/>
              </w:num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 xml:space="preserve">Function as a meta-registry to integrate information from various carbon credit </w:t>
            </w:r>
            <w:proofErr w:type="gramStart"/>
            <w:r w:rsidRPr="00AD1ED6">
              <w:rPr>
                <w:rFonts w:ascii="Calibri" w:eastAsia="Times New Roman" w:hAnsi="Calibri" w:cs="Calibri"/>
                <w:kern w:val="0"/>
                <w:lang w:eastAsia="en-GB"/>
                <w14:ligatures w14:val="none"/>
              </w:rPr>
              <w:t>systems;</w:t>
            </w:r>
            <w:proofErr w:type="gramEnd"/>
          </w:p>
          <w:p w14:paraId="1075A01A" w14:textId="77777777" w:rsidR="00AD1ED6" w:rsidRPr="00AD1ED6" w:rsidRDefault="00AD1ED6" w:rsidP="00F7115C">
            <w:pPr>
              <w:pStyle w:val="ListParagraph"/>
              <w:numPr>
                <w:ilvl w:val="0"/>
                <w:numId w:val="6"/>
              </w:num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Enable interoperability with other national and international registries; and</w:t>
            </w:r>
          </w:p>
          <w:p w14:paraId="38C2165D" w14:textId="23262BBE" w:rsidR="00AD1ED6" w:rsidRPr="00AD1ED6" w:rsidRDefault="00AD1ED6" w:rsidP="00F7115C">
            <w:pPr>
              <w:pStyle w:val="ListParagraph"/>
              <w:numPr>
                <w:ilvl w:val="0"/>
                <w:numId w:val="6"/>
              </w:numPr>
              <w:jc w:val="both"/>
              <w:textAlignment w:val="baseline"/>
              <w:rPr>
                <w:rFonts w:ascii="Calibri" w:eastAsia="Times New Roman" w:hAnsi="Calibri" w:cs="Calibri"/>
                <w:kern w:val="0"/>
                <w:lang w:eastAsia="en-GB"/>
                <w14:ligatures w14:val="none"/>
              </w:rPr>
            </w:pPr>
            <w:r w:rsidRPr="00AD1ED6">
              <w:rPr>
                <w:rFonts w:ascii="Calibri" w:eastAsia="Times New Roman" w:hAnsi="Calibri" w:cs="Calibri"/>
                <w:kern w:val="0"/>
                <w:lang w:eastAsia="en-GB"/>
                <w14:ligatures w14:val="none"/>
              </w:rPr>
              <w:t>Support the IT infrastructure necessary for managing carbon credit transactions.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5C60ED36" w:rsidR="00343937" w:rsidRPr="00CF2E7C" w:rsidRDefault="002165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CF9BE72"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6E35F3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211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D6EEF9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211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6A75370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211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04FE5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339">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2CA9007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A350E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361B">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331C4" w14:textId="77777777" w:rsidR="00AD1ED6" w:rsidRPr="00AD1ED6" w:rsidRDefault="00AD1ED6" w:rsidP="00AD1ED6">
            <w:pPr>
              <w:jc w:val="both"/>
              <w:textAlignment w:val="baseline"/>
              <w:rPr>
                <w:rFonts w:ascii="Calibri" w:eastAsia="Times New Roman" w:hAnsi="Calibri" w:cs="Calibri"/>
                <w:kern w:val="0"/>
                <w:lang w:val="en-IN" w:eastAsia="en-GB"/>
                <w14:ligatures w14:val="none"/>
              </w:rPr>
            </w:pPr>
            <w:r w:rsidRPr="00AD1ED6">
              <w:rPr>
                <w:rFonts w:ascii="Calibri" w:eastAsia="Times New Roman" w:hAnsi="Calibri" w:cs="Calibri"/>
                <w:kern w:val="0"/>
                <w:lang w:val="en-IN" w:eastAsia="en-GB"/>
                <w14:ligatures w14:val="none"/>
              </w:rPr>
              <w:t>The Detailed Procedure for the Offset Mechanism under the Carbon Credit Trading Scheme, 2023 (CCTS), includes binding provisions to prevent double counting of carbon credits across project stages. Key safeguards include:</w:t>
            </w:r>
          </w:p>
          <w:p w14:paraId="5338F45C" w14:textId="77777777" w:rsidR="00AD1ED6" w:rsidRPr="00AD1ED6" w:rsidRDefault="00AD1ED6" w:rsidP="00F7115C">
            <w:pPr>
              <w:numPr>
                <w:ilvl w:val="0"/>
                <w:numId w:val="7"/>
              </w:numPr>
              <w:tabs>
                <w:tab w:val="num" w:pos="720"/>
              </w:tabs>
              <w:jc w:val="both"/>
              <w:textAlignment w:val="baseline"/>
              <w:rPr>
                <w:rFonts w:ascii="Calibri" w:eastAsia="Times New Roman" w:hAnsi="Calibri" w:cs="Calibri"/>
                <w:kern w:val="0"/>
                <w:lang w:val="en-IN" w:eastAsia="en-GB"/>
                <w14:ligatures w14:val="none"/>
              </w:rPr>
            </w:pPr>
            <w:r w:rsidRPr="00AD1ED6">
              <w:rPr>
                <w:rFonts w:ascii="Calibri" w:eastAsia="Times New Roman" w:hAnsi="Calibri" w:cs="Calibri"/>
                <w:kern w:val="0"/>
                <w:lang w:val="en-IN" w:eastAsia="en-GB"/>
                <w14:ligatures w14:val="none"/>
              </w:rPr>
              <w:t>Section B2.1 (</w:t>
            </w:r>
            <w:r w:rsidRPr="00AD1ED6">
              <w:rPr>
                <w:rFonts w:ascii="Calibri" w:eastAsia="Times New Roman" w:hAnsi="Calibri" w:cs="Calibri"/>
                <w:i/>
                <w:iCs/>
                <w:kern w:val="0"/>
                <w:lang w:val="en-IN" w:eastAsia="en-GB"/>
                <w14:ligatures w14:val="none"/>
              </w:rPr>
              <w:t>Governance Principles</w:t>
            </w:r>
            <w:r w:rsidRPr="00AD1ED6">
              <w:rPr>
                <w:rFonts w:ascii="Calibri" w:eastAsia="Times New Roman" w:hAnsi="Calibri" w:cs="Calibri"/>
                <w:kern w:val="0"/>
                <w:lang w:val="en-IN" w:eastAsia="en-GB"/>
                <w14:ligatures w14:val="none"/>
              </w:rPr>
              <w:t>): Requires a transparent governance structure with accountability mechanisms to ensure no double counting of Carbon Credit Certificates (CCCs).</w:t>
            </w:r>
          </w:p>
          <w:p w14:paraId="4B034430" w14:textId="77777777" w:rsidR="00AD1ED6" w:rsidRPr="00AD1ED6" w:rsidRDefault="00AD1ED6" w:rsidP="00F7115C">
            <w:pPr>
              <w:numPr>
                <w:ilvl w:val="0"/>
                <w:numId w:val="7"/>
              </w:numPr>
              <w:tabs>
                <w:tab w:val="num" w:pos="720"/>
              </w:tabs>
              <w:jc w:val="both"/>
              <w:textAlignment w:val="baseline"/>
              <w:rPr>
                <w:rFonts w:ascii="Calibri" w:eastAsia="Times New Roman" w:hAnsi="Calibri" w:cs="Calibri"/>
                <w:kern w:val="0"/>
                <w:lang w:val="en-IN" w:eastAsia="en-GB"/>
                <w14:ligatures w14:val="none"/>
              </w:rPr>
            </w:pPr>
            <w:r w:rsidRPr="00AD1ED6">
              <w:rPr>
                <w:rFonts w:ascii="Calibri" w:eastAsia="Times New Roman" w:hAnsi="Calibri" w:cs="Calibri"/>
                <w:kern w:val="0"/>
                <w:lang w:val="en-IN" w:eastAsia="en-GB"/>
                <w14:ligatures w14:val="none"/>
              </w:rPr>
              <w:t>Section B3.5 (</w:t>
            </w:r>
            <w:r w:rsidRPr="00AD1ED6">
              <w:rPr>
                <w:rFonts w:ascii="Calibri" w:eastAsia="Times New Roman" w:hAnsi="Calibri" w:cs="Calibri"/>
                <w:i/>
                <w:iCs/>
                <w:kern w:val="0"/>
                <w:lang w:val="en-IN" w:eastAsia="en-GB"/>
                <w14:ligatures w14:val="none"/>
              </w:rPr>
              <w:t>Preventing Double Counting</w:t>
            </w:r>
            <w:r w:rsidRPr="00AD1ED6">
              <w:rPr>
                <w:rFonts w:ascii="Calibri" w:eastAsia="Times New Roman" w:hAnsi="Calibri" w:cs="Calibri"/>
                <w:kern w:val="0"/>
                <w:lang w:val="en-IN" w:eastAsia="en-GB"/>
                <w14:ligatures w14:val="none"/>
              </w:rPr>
              <w:t>): Mandates that “the non-obligated entity shall ensure there is no double counting or claim of the emission reductions with other mechanisms.”</w:t>
            </w:r>
          </w:p>
          <w:p w14:paraId="575BCC50" w14:textId="77777777" w:rsidR="00AD1ED6" w:rsidRPr="00AD1ED6" w:rsidRDefault="00AD1ED6" w:rsidP="00F7115C">
            <w:pPr>
              <w:numPr>
                <w:ilvl w:val="0"/>
                <w:numId w:val="7"/>
              </w:numPr>
              <w:tabs>
                <w:tab w:val="num" w:pos="720"/>
              </w:tabs>
              <w:jc w:val="both"/>
              <w:textAlignment w:val="baseline"/>
              <w:rPr>
                <w:rFonts w:ascii="Calibri" w:eastAsia="Times New Roman" w:hAnsi="Calibri" w:cs="Calibri"/>
                <w:kern w:val="0"/>
                <w:lang w:val="en-IN" w:eastAsia="en-GB"/>
                <w14:ligatures w14:val="none"/>
              </w:rPr>
            </w:pPr>
            <w:r w:rsidRPr="00AD1ED6">
              <w:rPr>
                <w:rFonts w:ascii="Calibri" w:eastAsia="Times New Roman" w:hAnsi="Calibri" w:cs="Calibri"/>
                <w:kern w:val="0"/>
                <w:lang w:val="en-IN" w:eastAsia="en-GB"/>
                <w14:ligatures w14:val="none"/>
              </w:rPr>
              <w:t>Section C4.3 (</w:t>
            </w:r>
            <w:r w:rsidRPr="00AD1ED6">
              <w:rPr>
                <w:rFonts w:ascii="Calibri" w:eastAsia="Times New Roman" w:hAnsi="Calibri" w:cs="Calibri"/>
                <w:i/>
                <w:iCs/>
                <w:kern w:val="0"/>
                <w:lang w:val="en-IN" w:eastAsia="en-GB"/>
                <w14:ligatures w14:val="none"/>
              </w:rPr>
              <w:t>Validation of Compliance</w:t>
            </w:r>
            <w:r w:rsidRPr="00AD1ED6">
              <w:rPr>
                <w:rFonts w:ascii="Calibri" w:eastAsia="Times New Roman" w:hAnsi="Calibri" w:cs="Calibri"/>
                <w:kern w:val="0"/>
                <w:lang w:val="en-IN" w:eastAsia="en-GB"/>
                <w14:ligatures w14:val="none"/>
              </w:rPr>
              <w:t>): Obligates Accredited Carbon Verification Agencies (ACVAs) to verify that the project does not involve double counting or revived registration before validation.</w:t>
            </w:r>
          </w:p>
          <w:p w14:paraId="77BA01F6" w14:textId="77777777" w:rsidR="00AD1ED6" w:rsidRPr="00AD1ED6" w:rsidRDefault="00AD1ED6" w:rsidP="00F7115C">
            <w:pPr>
              <w:numPr>
                <w:ilvl w:val="0"/>
                <w:numId w:val="7"/>
              </w:numPr>
              <w:tabs>
                <w:tab w:val="num" w:pos="720"/>
              </w:tabs>
              <w:jc w:val="both"/>
              <w:textAlignment w:val="baseline"/>
              <w:rPr>
                <w:rFonts w:ascii="Calibri" w:eastAsia="Times New Roman" w:hAnsi="Calibri" w:cs="Calibri"/>
                <w:kern w:val="0"/>
                <w:lang w:val="en-IN" w:eastAsia="en-GB"/>
                <w14:ligatures w14:val="none"/>
              </w:rPr>
            </w:pPr>
            <w:r w:rsidRPr="00AD1ED6">
              <w:rPr>
                <w:rFonts w:ascii="Calibri" w:eastAsia="Times New Roman" w:hAnsi="Calibri" w:cs="Calibri"/>
                <w:kern w:val="0"/>
                <w:lang w:val="en-IN" w:eastAsia="en-GB"/>
                <w14:ligatures w14:val="none"/>
              </w:rPr>
              <w:lastRenderedPageBreak/>
              <w:t>Section C4.4 (</w:t>
            </w:r>
            <w:r w:rsidRPr="00AD1ED6">
              <w:rPr>
                <w:rFonts w:ascii="Calibri" w:eastAsia="Times New Roman" w:hAnsi="Calibri" w:cs="Calibri"/>
                <w:i/>
                <w:iCs/>
                <w:kern w:val="0"/>
                <w:lang w:val="en-IN" w:eastAsia="en-GB"/>
                <w14:ligatures w14:val="none"/>
              </w:rPr>
              <w:t>Treatment of Double or Revived Registration</w:t>
            </w:r>
            <w:r w:rsidRPr="00AD1ED6">
              <w:rPr>
                <w:rFonts w:ascii="Calibri" w:eastAsia="Times New Roman" w:hAnsi="Calibri" w:cs="Calibri"/>
                <w:kern w:val="0"/>
                <w:lang w:val="en-IN" w:eastAsia="en-GB"/>
                <w14:ligatures w14:val="none"/>
              </w:rPr>
              <w:t>): Requires ACVAs to confirm, based on documentary evidence and declarations, that the project is not registered with any other carbon credit mechanism.</w:t>
            </w:r>
          </w:p>
          <w:p w14:paraId="4878BF58" w14:textId="1CED94CF" w:rsidR="00343937" w:rsidRPr="00AD1ED6" w:rsidRDefault="00AD1ED6" w:rsidP="00AD1ED6">
            <w:pPr>
              <w:jc w:val="both"/>
              <w:textAlignment w:val="baseline"/>
              <w:rPr>
                <w:rFonts w:ascii="Calibri" w:eastAsia="Times New Roman" w:hAnsi="Calibri" w:cs="Calibri"/>
                <w:kern w:val="0"/>
                <w:lang w:val="en-IN" w:eastAsia="en-GB"/>
                <w14:ligatures w14:val="none"/>
              </w:rPr>
            </w:pPr>
            <w:r w:rsidRPr="00AD1ED6">
              <w:rPr>
                <w:rFonts w:ascii="Calibri" w:eastAsia="Times New Roman" w:hAnsi="Calibri" w:cs="Calibri"/>
                <w:kern w:val="0"/>
                <w:lang w:val="en-IN" w:eastAsia="en-GB"/>
                <w14:ligatures w14:val="none"/>
              </w:rPr>
              <w:t>These provisions collectively address risks of double issuance, use, or claim of credits within or across registries.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22034F3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0D3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29D46F5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B0BD92A" w:rsidR="00343937" w:rsidRPr="00CF2E7C" w:rsidRDefault="009932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B3FEA6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0D3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16A131A1" w:rsidR="00343937" w:rsidRPr="00CF2E7C" w:rsidRDefault="00343937" w:rsidP="00F7115C">
            <w:pPr>
              <w:jc w:val="both"/>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52A950B0"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E768A">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31EC811" w:rsidR="00304070" w:rsidRPr="00CF2E7C" w:rsidRDefault="00993291" w:rsidP="00F7115C">
            <w:pPr>
              <w:jc w:val="both"/>
              <w:textAlignment w:val="baseline"/>
              <w:rPr>
                <w:rFonts w:ascii="Calibri" w:eastAsia="Times New Roman" w:hAnsi="Calibri" w:cs="Calibri"/>
                <w:kern w:val="0"/>
                <w:lang w:eastAsia="en-GB"/>
                <w14:ligatures w14:val="none"/>
              </w:rPr>
            </w:pPr>
            <w:r w:rsidRPr="00993291">
              <w:rPr>
                <w:rFonts w:ascii="Calibri" w:eastAsia="Times New Roman" w:hAnsi="Calibri" w:cs="Calibri"/>
                <w:kern w:val="0"/>
                <w:lang w:eastAsia="en-GB"/>
                <w14:ligatures w14:val="none"/>
              </w:rPr>
              <w:t xml:space="preserve">The policy framework incorporates a limited grievance redress mechanism applicable solely to accreditation-related disputes involving Accredited Carbon Verification Agencies (ACVAs). In accordance with Paragraph 13 of the </w:t>
            </w:r>
            <w:r w:rsidRPr="00993291">
              <w:rPr>
                <w:rFonts w:ascii="Calibri" w:eastAsia="Times New Roman" w:hAnsi="Calibri" w:cs="Calibri"/>
                <w:i/>
                <w:iCs/>
                <w:kern w:val="0"/>
                <w:lang w:eastAsia="en-GB"/>
                <w14:ligatures w14:val="none"/>
              </w:rPr>
              <w:t>Accreditation Procedure and Eligibility Criteria for ACVA</w:t>
            </w:r>
            <w:r w:rsidRPr="00993291">
              <w:rPr>
                <w:rFonts w:ascii="Calibri" w:eastAsia="Times New Roman" w:hAnsi="Calibri" w:cs="Calibri"/>
                <w:kern w:val="0"/>
                <w:lang w:eastAsia="en-GB"/>
                <w14:ligatures w14:val="none"/>
              </w:rPr>
              <w:t xml:space="preserve">, an applicant agency aggrieved by a decision of the Accreditation Advisory Committee (AAC) may prefer an appeal in writing to the Director General, Bureau of Energy Efficiency (BEE), through the Director, BEE, within a period of 30 days from the date of such decision. The appeal process entails verification of submitted documentation and, if deemed necessary, referral to the AAC for further review. The final decision rendered by the Director General, BEE shall be binding. The </w:t>
            </w:r>
            <w:r w:rsidRPr="00993291">
              <w:rPr>
                <w:rFonts w:ascii="Calibri" w:eastAsia="Times New Roman" w:hAnsi="Calibri" w:cs="Calibri"/>
                <w:kern w:val="0"/>
                <w:lang w:eastAsia="en-GB"/>
                <w14:ligatures w14:val="none"/>
              </w:rPr>
              <w:lastRenderedPageBreak/>
              <w:t>policy tool does not envisage or provide for any grievance redress or dispute resolution mechanism concerning project developers, host communities, or other third-party stakeholders.</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9"/>
        <w:gridCol w:w="4176"/>
        <w:gridCol w:w="70"/>
        <w:gridCol w:w="1406"/>
        <w:gridCol w:w="187"/>
        <w:gridCol w:w="74"/>
        <w:gridCol w:w="1981"/>
        <w:gridCol w:w="30"/>
        <w:gridCol w:w="1626"/>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0D4084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A056B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2B0E8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D4E70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A2FCF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2F60831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6E3A2D4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7703">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6350E8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2481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B1381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24810">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48FEF8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24810">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D6951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A2075">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5820FF04" w:rsidR="00047A9C" w:rsidRPr="00626442" w:rsidRDefault="00993291" w:rsidP="00F7115C">
            <w:pPr>
              <w:jc w:val="both"/>
              <w:textAlignment w:val="baseline"/>
              <w:rPr>
                <w:rFonts w:ascii="Calibri" w:eastAsia="Times New Roman" w:hAnsi="Calibri" w:cs="Calibri"/>
                <w:kern w:val="0"/>
                <w:lang w:eastAsia="en-GB"/>
                <w14:ligatures w14:val="none"/>
              </w:rPr>
            </w:pPr>
            <w:r w:rsidRPr="00993291">
              <w:rPr>
                <w:rFonts w:ascii="Calibri" w:eastAsia="Times New Roman" w:hAnsi="Calibri" w:cs="Calibri"/>
                <w:kern w:val="0"/>
                <w:lang w:eastAsia="en-GB"/>
                <w14:ligatures w14:val="none"/>
              </w:rPr>
              <w:t xml:space="preserve">The Offset Mechanism requires that validation and verification be conducted by an independent third-party ACVA, accredited by the BEE in accordance with the </w:t>
            </w:r>
            <w:r w:rsidRPr="00993291">
              <w:rPr>
                <w:rFonts w:ascii="Calibri" w:eastAsia="Times New Roman" w:hAnsi="Calibri" w:cs="Calibri"/>
                <w:i/>
                <w:iCs/>
                <w:kern w:val="0"/>
                <w:lang w:eastAsia="en-GB"/>
                <w14:ligatures w14:val="none"/>
              </w:rPr>
              <w:t>Accreditation Procedure and Eligibility Criteria</w:t>
            </w:r>
            <w:r w:rsidRPr="00993291">
              <w:rPr>
                <w:rFonts w:ascii="Calibri" w:eastAsia="Times New Roman" w:hAnsi="Calibri" w:cs="Calibri"/>
                <w:kern w:val="0"/>
                <w:lang w:eastAsia="en-GB"/>
                <w14:ligatures w14:val="none"/>
              </w:rPr>
              <w:t xml:space="preserve"> [Section A5.1]. The ACVA must meet specified eligibility requirements, including institutional, technical, and operational capacity [Section A5.2]. The same ACVA is not permitted to carry out both validation and verification for the same crediting period [Section C3.3].</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2A52E13" w:rsidR="00047A9C" w:rsidRPr="00CF2E7C" w:rsidRDefault="009932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59953E0" w:rsidR="00047A9C" w:rsidRPr="00CF2E7C" w:rsidRDefault="006264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BCE8C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6442">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07AAF9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6442">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5BB404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57B50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2625">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2B2956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2625">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3D227390" w:rsidR="00047A9C" w:rsidRPr="00A30013" w:rsidRDefault="00D9559A" w:rsidP="00F7115C">
            <w:pPr>
              <w:jc w:val="both"/>
              <w:textAlignment w:val="baseline"/>
              <w:rPr>
                <w:rFonts w:ascii="Calibri" w:eastAsia="Times New Roman" w:hAnsi="Calibri" w:cs="Calibri"/>
                <w:kern w:val="0"/>
                <w:lang w:eastAsia="en-GB"/>
                <w14:ligatures w14:val="none"/>
              </w:rPr>
            </w:pPr>
            <w:r w:rsidRPr="00D9559A">
              <w:rPr>
                <w:rFonts w:ascii="Calibri" w:eastAsia="Times New Roman" w:hAnsi="Calibri" w:cs="Calibri"/>
                <w:kern w:val="0"/>
                <w:lang w:eastAsia="en-GB"/>
                <w14:ligatures w14:val="none"/>
              </w:rPr>
              <w:t xml:space="preserve">The Offset Mechanism requires demonstration of additionality for project registration. Non-obligated entities are required to establish that the proposed activity would not have materialised in the absence of the incentive arising from the issuance of CCCs [Sections B4.7.1–B4.7.5]. This includes a mandatory assessment of prevailing national policies and regulatory </w:t>
            </w:r>
            <w:proofErr w:type="gramStart"/>
            <w:r w:rsidRPr="00D9559A">
              <w:rPr>
                <w:rFonts w:ascii="Calibri" w:eastAsia="Times New Roman" w:hAnsi="Calibri" w:cs="Calibri"/>
                <w:kern w:val="0"/>
                <w:lang w:eastAsia="en-GB"/>
                <w14:ligatures w14:val="none"/>
              </w:rPr>
              <w:t>frameworks, and</w:t>
            </w:r>
            <w:proofErr w:type="gramEnd"/>
            <w:r w:rsidRPr="00D9559A">
              <w:rPr>
                <w:rFonts w:ascii="Calibri" w:eastAsia="Times New Roman" w:hAnsi="Calibri" w:cs="Calibri"/>
                <w:kern w:val="0"/>
                <w:lang w:eastAsia="en-GB"/>
                <w14:ligatures w14:val="none"/>
              </w:rPr>
              <w:t xml:space="preserve"> must adopt a conservative approach to demonstrate the counterfactual scenario [Section B4.7.3]. Where applicable, project proponents must apply the tools prescribed in the relevant methodology </w:t>
            </w:r>
            <w:r w:rsidRPr="00D9559A">
              <w:rPr>
                <w:rFonts w:ascii="Calibri" w:eastAsia="Times New Roman" w:hAnsi="Calibri" w:cs="Calibri"/>
                <w:kern w:val="0"/>
                <w:lang w:eastAsia="en-GB"/>
                <w14:ligatures w14:val="none"/>
              </w:rPr>
              <w:lastRenderedPageBreak/>
              <w:t>[Section B4.7.4]. The ACVA is required to validate the additionality determination, including assessment of the underlying assumptions, evidentiary basis, and justification provided by the project proponent [Section C4.8.1].</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0B380D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4FD3">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7364D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75C1">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31262E8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26C2">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17E73FD3" w:rsidR="00047A9C" w:rsidRPr="005F196E" w:rsidRDefault="00D9559A" w:rsidP="00F7115C">
            <w:pPr>
              <w:jc w:val="both"/>
              <w:textAlignment w:val="baseline"/>
              <w:rPr>
                <w:rFonts w:ascii="Calibri" w:eastAsia="Times New Roman" w:hAnsi="Calibri" w:cs="Calibri"/>
                <w:kern w:val="0"/>
                <w:lang w:eastAsia="en-GB"/>
                <w14:ligatures w14:val="none"/>
              </w:rPr>
            </w:pPr>
            <w:r w:rsidRPr="00D9559A">
              <w:rPr>
                <w:rFonts w:ascii="Calibri" w:eastAsia="Times New Roman" w:hAnsi="Calibri" w:cs="Calibri"/>
                <w:kern w:val="0"/>
                <w:lang w:eastAsia="en-GB"/>
                <w14:ligatures w14:val="none"/>
              </w:rPr>
              <w:t>The Offset Mechanism under the CCTS incorporates permanence as a core governance requirement. The policy explicitly mandates that all offset activities be designed and implemented with a "strong focus on additionality and permanence" [Section B2.1]. This requirement establishes that emission reductions or removals must be real, non-reversible, and sustained over time. However, the Detailed Procedure does not prescribe a specific minimum duration for which emissions must remain sequestered, nor does it establish technology-specific thresholds or durability buffer requirements. Accordingly, while the principle of permanence is expressly embedded, the policy does not provide further technical or quantitative parameters in this regard.</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8F4B6C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F6B">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8CDB2B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4686">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06085F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F6B">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3FC96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F6B">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6410D54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F6B">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617E797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468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1CC5AB9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CB68D9E" w14:textId="77777777" w:rsidR="00215CDA" w:rsidRPr="00215CDA" w:rsidRDefault="00215CDA" w:rsidP="00215CDA">
            <w:pPr>
              <w:jc w:val="both"/>
              <w:textAlignment w:val="baseline"/>
              <w:rPr>
                <w:rFonts w:ascii="Calibri" w:eastAsia="Times New Roman" w:hAnsi="Calibri" w:cs="Calibri"/>
                <w:kern w:val="0"/>
                <w:lang w:eastAsia="en-GB"/>
                <w14:ligatures w14:val="none"/>
              </w:rPr>
            </w:pPr>
            <w:r w:rsidRPr="00215CDA">
              <w:rPr>
                <w:rFonts w:ascii="Calibri" w:eastAsia="Times New Roman" w:hAnsi="Calibri" w:cs="Calibri"/>
                <w:kern w:val="0"/>
                <w:lang w:eastAsia="en-GB"/>
                <w14:ligatures w14:val="none"/>
              </w:rPr>
              <w:t>The Offset Mechanism under the Carbon Credit Trading Scheme (CCTS) outlines procedural requirements for managing reversal of credits. As per Annexure 3, Section III [C.4] of the Detailed Procedure, non-obligated entities are required to include the following in the Project Design Document:</w:t>
            </w:r>
          </w:p>
          <w:p w14:paraId="4263C183" w14:textId="77777777" w:rsidR="00215CDA" w:rsidRPr="00215CDA" w:rsidRDefault="00215CDA" w:rsidP="00215CDA">
            <w:pPr>
              <w:jc w:val="both"/>
              <w:textAlignment w:val="baseline"/>
              <w:rPr>
                <w:rFonts w:ascii="Calibri" w:eastAsia="Times New Roman" w:hAnsi="Calibri" w:cs="Calibri"/>
                <w:kern w:val="0"/>
                <w:lang w:eastAsia="en-GB"/>
                <w14:ligatures w14:val="none"/>
              </w:rPr>
            </w:pPr>
            <w:r w:rsidRPr="00215CDA">
              <w:rPr>
                <w:rFonts w:ascii="Calibri" w:eastAsia="Times New Roman" w:hAnsi="Calibri" w:cs="Calibri"/>
                <w:kern w:val="0"/>
                <w:lang w:eastAsia="en-GB"/>
                <w14:ligatures w14:val="none"/>
              </w:rPr>
              <w:t>(a) identification of potential reversal risks [C.4.1</w:t>
            </w:r>
            <w:proofErr w:type="gramStart"/>
            <w:r w:rsidRPr="00215CDA">
              <w:rPr>
                <w:rFonts w:ascii="Calibri" w:eastAsia="Times New Roman" w:hAnsi="Calibri" w:cs="Calibri"/>
                <w:kern w:val="0"/>
                <w:lang w:eastAsia="en-GB"/>
                <w14:ligatures w14:val="none"/>
              </w:rPr>
              <w:t>];</w:t>
            </w:r>
            <w:proofErr w:type="gramEnd"/>
          </w:p>
          <w:p w14:paraId="080393A3" w14:textId="77777777" w:rsidR="00215CDA" w:rsidRPr="00215CDA" w:rsidRDefault="00215CDA" w:rsidP="00215CDA">
            <w:pPr>
              <w:jc w:val="both"/>
              <w:textAlignment w:val="baseline"/>
              <w:rPr>
                <w:rFonts w:ascii="Calibri" w:eastAsia="Times New Roman" w:hAnsi="Calibri" w:cs="Calibri"/>
                <w:kern w:val="0"/>
                <w:lang w:eastAsia="en-GB"/>
                <w14:ligatures w14:val="none"/>
              </w:rPr>
            </w:pPr>
            <w:r w:rsidRPr="00215CDA">
              <w:rPr>
                <w:rFonts w:ascii="Calibri" w:eastAsia="Times New Roman" w:hAnsi="Calibri" w:cs="Calibri"/>
                <w:kern w:val="0"/>
                <w:lang w:eastAsia="en-GB"/>
                <w14:ligatures w14:val="none"/>
              </w:rPr>
              <w:t>(b) assessment of the probability and magnitude of reversals [C.4.2</w:t>
            </w:r>
            <w:proofErr w:type="gramStart"/>
            <w:r w:rsidRPr="00215CDA">
              <w:rPr>
                <w:rFonts w:ascii="Calibri" w:eastAsia="Times New Roman" w:hAnsi="Calibri" w:cs="Calibri"/>
                <w:kern w:val="0"/>
                <w:lang w:eastAsia="en-GB"/>
                <w14:ligatures w14:val="none"/>
              </w:rPr>
              <w:t>];</w:t>
            </w:r>
            <w:proofErr w:type="gramEnd"/>
          </w:p>
          <w:p w14:paraId="0C438DEA" w14:textId="77777777" w:rsidR="00215CDA" w:rsidRPr="00215CDA" w:rsidRDefault="00215CDA" w:rsidP="00215CDA">
            <w:pPr>
              <w:jc w:val="both"/>
              <w:textAlignment w:val="baseline"/>
              <w:rPr>
                <w:rFonts w:ascii="Calibri" w:eastAsia="Times New Roman" w:hAnsi="Calibri" w:cs="Calibri"/>
                <w:kern w:val="0"/>
                <w:lang w:eastAsia="en-GB"/>
                <w14:ligatures w14:val="none"/>
              </w:rPr>
            </w:pPr>
            <w:r w:rsidRPr="00215CDA">
              <w:rPr>
                <w:rFonts w:ascii="Calibri" w:eastAsia="Times New Roman" w:hAnsi="Calibri" w:cs="Calibri"/>
                <w:kern w:val="0"/>
                <w:lang w:eastAsia="en-GB"/>
                <w14:ligatures w14:val="none"/>
              </w:rPr>
              <w:t>(c) a risk mitigation plan [C.4.3]; and</w:t>
            </w:r>
          </w:p>
          <w:p w14:paraId="16A7F83E" w14:textId="77777777" w:rsidR="00215CDA" w:rsidRPr="00215CDA" w:rsidRDefault="00215CDA" w:rsidP="00215CDA">
            <w:pPr>
              <w:jc w:val="both"/>
              <w:textAlignment w:val="baseline"/>
              <w:rPr>
                <w:rFonts w:ascii="Calibri" w:eastAsia="Times New Roman" w:hAnsi="Calibri" w:cs="Calibri"/>
                <w:kern w:val="0"/>
                <w:lang w:eastAsia="en-GB"/>
                <w14:ligatures w14:val="none"/>
              </w:rPr>
            </w:pPr>
            <w:r w:rsidRPr="00215CDA">
              <w:rPr>
                <w:rFonts w:ascii="Calibri" w:eastAsia="Times New Roman" w:hAnsi="Calibri" w:cs="Calibri"/>
                <w:kern w:val="0"/>
                <w:lang w:eastAsia="en-GB"/>
                <w14:ligatures w14:val="none"/>
              </w:rPr>
              <w:t>(d) a remediation plan in case of actual reversals [C.4.4].</w:t>
            </w:r>
          </w:p>
          <w:p w14:paraId="773FCD5C" w14:textId="44EB18C6" w:rsidR="00047A9C" w:rsidRPr="00CF2E7C" w:rsidRDefault="00215CDA" w:rsidP="00215CDA">
            <w:pPr>
              <w:jc w:val="both"/>
              <w:textAlignment w:val="baseline"/>
              <w:rPr>
                <w:rFonts w:ascii="Calibri" w:eastAsia="Times New Roman" w:hAnsi="Calibri" w:cs="Calibri"/>
                <w:kern w:val="0"/>
                <w:lang w:eastAsia="en-GB"/>
                <w14:ligatures w14:val="none"/>
              </w:rPr>
            </w:pPr>
            <w:r w:rsidRPr="00215CDA">
              <w:rPr>
                <w:rFonts w:ascii="Calibri" w:eastAsia="Times New Roman" w:hAnsi="Calibri" w:cs="Calibri"/>
                <w:kern w:val="0"/>
                <w:lang w:eastAsia="en-GB"/>
                <w14:ligatures w14:val="none"/>
              </w:rPr>
              <w:t>However, the policy tool does not prescribe additional remedial mechanisms such as buffer credit accounts, insurance-based guarantees, or ex post credit cancellation protocols. Thus, while reversal risks must be assessed and planned for, no explicit market-based remedial instruments are mandated.</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7E51B8DA" w:rsidR="00DD694D" w:rsidRPr="00CF2E7C" w:rsidRDefault="00215C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85B149B" w14:textId="05120F73" w:rsidR="00215CDA" w:rsidRPr="00215CDA" w:rsidRDefault="00215CDA" w:rsidP="00215CDA">
            <w:pPr>
              <w:jc w:val="both"/>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The Offset Mechanism, outlines criteria for quantification of emission reductions or removals. Section B4.4 of the Detailed Procedure mandates that offset projects follow approved methodologies, which specify the process for baseline determination, monitoring, and calculation of emission reductions.</w:t>
            </w:r>
          </w:p>
          <w:p w14:paraId="5D86223B" w14:textId="483395F2" w:rsidR="00215CDA" w:rsidRPr="00215CDA" w:rsidRDefault="00215CDA" w:rsidP="00343B21">
            <w:pPr>
              <w:jc w:val="both"/>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Section B4.6.3 requires the baseline to be determined conservatively and transparently, while Section B4.6.4 mandates that emission reductions must be real, measurable, and verifiable. Section B4.5 further states that the BEE will publish approved methodologies for use under the scheme.</w:t>
            </w:r>
          </w:p>
          <w:p w14:paraId="3FEAD50C" w14:textId="7E9B8C64" w:rsidR="00DD694D" w:rsidRDefault="00215CDA" w:rsidP="00215CDA">
            <w:pPr>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As of May 2024, BEE has issued an approved methodology for</w:t>
            </w:r>
            <w:r>
              <w:rPr>
                <w:rFonts w:ascii="Calibri" w:eastAsia="Times New Roman" w:hAnsi="Calibri" w:cs="Calibri"/>
                <w:kern w:val="0"/>
                <w:lang w:val="en-IN" w:eastAsia="en-GB"/>
                <w14:ligatures w14:val="none"/>
              </w:rPr>
              <w:t>:</w:t>
            </w:r>
          </w:p>
          <w:p w14:paraId="6417D922" w14:textId="77777777" w:rsidR="00215CDA" w:rsidRPr="00215CDA" w:rsidRDefault="00215CDA" w:rsidP="00F7115C">
            <w:pPr>
              <w:numPr>
                <w:ilvl w:val="0"/>
                <w:numId w:val="8"/>
              </w:numPr>
              <w:tabs>
                <w:tab w:val="num" w:pos="72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b/>
                <w:bCs/>
                <w:kern w:val="0"/>
                <w:lang w:val="en-IN" w:eastAsia="en-GB"/>
                <w14:ligatures w14:val="none"/>
              </w:rPr>
              <w:t>Energy</w:t>
            </w:r>
          </w:p>
          <w:p w14:paraId="01F1C732"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Grid-connected electricity generation from renewable sources (BM EN01.001)</w:t>
            </w:r>
          </w:p>
          <w:p w14:paraId="33737479"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Hydrogen production from electrolysis of water (BM EN01.002)</w:t>
            </w:r>
          </w:p>
          <w:p w14:paraId="6F481F59" w14:textId="77777777" w:rsidR="00215CDA" w:rsidRPr="00215CDA" w:rsidRDefault="00215CDA" w:rsidP="00F7115C">
            <w:pPr>
              <w:numPr>
                <w:ilvl w:val="0"/>
                <w:numId w:val="8"/>
              </w:numPr>
              <w:tabs>
                <w:tab w:val="num" w:pos="72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b/>
                <w:bCs/>
                <w:kern w:val="0"/>
                <w:lang w:val="en-IN" w:eastAsia="en-GB"/>
                <w14:ligatures w14:val="none"/>
              </w:rPr>
              <w:t>Industries</w:t>
            </w:r>
          </w:p>
          <w:p w14:paraId="3CE77E90"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Energy efficiency and fuel switching measures for industrial facilities (BM IN02.001)</w:t>
            </w:r>
          </w:p>
          <w:p w14:paraId="17EF1D14"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Hydrogen production using methane extracted from biogas (BM IN02.002)</w:t>
            </w:r>
          </w:p>
          <w:p w14:paraId="4B3B35AC" w14:textId="77777777" w:rsidR="00215CDA" w:rsidRPr="00215CDA" w:rsidRDefault="00215CDA" w:rsidP="00F7115C">
            <w:pPr>
              <w:numPr>
                <w:ilvl w:val="0"/>
                <w:numId w:val="8"/>
              </w:numPr>
              <w:tabs>
                <w:tab w:val="num" w:pos="72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b/>
                <w:bCs/>
                <w:kern w:val="0"/>
                <w:lang w:val="en-IN" w:eastAsia="en-GB"/>
                <w14:ligatures w14:val="none"/>
              </w:rPr>
              <w:t>Waste Handling and Disposal</w:t>
            </w:r>
          </w:p>
          <w:p w14:paraId="3986E42C"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Landfill methane recovery (BM WA03.001)</w:t>
            </w:r>
          </w:p>
          <w:p w14:paraId="06EC39EA"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Flaring or use of landfill gas (BM WA03.002)</w:t>
            </w:r>
          </w:p>
          <w:p w14:paraId="2F7675E3" w14:textId="77777777" w:rsidR="00215CDA" w:rsidRPr="00215CDA" w:rsidRDefault="00215CDA" w:rsidP="00F7115C">
            <w:pPr>
              <w:numPr>
                <w:ilvl w:val="0"/>
                <w:numId w:val="8"/>
              </w:numPr>
              <w:tabs>
                <w:tab w:val="num" w:pos="72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b/>
                <w:bCs/>
                <w:kern w:val="0"/>
                <w:lang w:val="en-IN" w:eastAsia="en-GB"/>
                <w14:ligatures w14:val="none"/>
              </w:rPr>
              <w:t>Agriculture</w:t>
            </w:r>
          </w:p>
          <w:p w14:paraId="6E9561ED"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Methane recovery from livestock and manure management at households and small farms (BM AG04.001)</w:t>
            </w:r>
          </w:p>
          <w:p w14:paraId="73DAA07B" w14:textId="77777777" w:rsidR="00215CDA" w:rsidRPr="00215CDA" w:rsidRDefault="00215CDA" w:rsidP="00F7115C">
            <w:pPr>
              <w:numPr>
                <w:ilvl w:val="0"/>
                <w:numId w:val="8"/>
              </w:numPr>
              <w:tabs>
                <w:tab w:val="num" w:pos="72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b/>
                <w:bCs/>
                <w:kern w:val="0"/>
                <w:lang w:val="en-IN" w:eastAsia="en-GB"/>
                <w14:ligatures w14:val="none"/>
              </w:rPr>
              <w:t>Forestry</w:t>
            </w:r>
          </w:p>
          <w:p w14:paraId="254B715E" w14:textId="77777777" w:rsidR="00215CDA" w:rsidRPr="00215CDA" w:rsidRDefault="00215CDA" w:rsidP="00F7115C">
            <w:pPr>
              <w:numPr>
                <w:ilvl w:val="1"/>
                <w:numId w:val="8"/>
              </w:numPr>
              <w:tabs>
                <w:tab w:val="num" w:pos="1440"/>
              </w:tabs>
              <w:textAlignment w:val="baseline"/>
              <w:rPr>
                <w:rFonts w:ascii="Calibri" w:eastAsia="Times New Roman" w:hAnsi="Calibri" w:cs="Calibri"/>
                <w:kern w:val="0"/>
                <w:lang w:val="en-IN" w:eastAsia="en-GB"/>
                <w14:ligatures w14:val="none"/>
              </w:rPr>
            </w:pPr>
            <w:r w:rsidRPr="00215CDA">
              <w:rPr>
                <w:rFonts w:ascii="Calibri" w:eastAsia="Times New Roman" w:hAnsi="Calibri" w:cs="Calibri"/>
                <w:kern w:val="0"/>
                <w:lang w:val="en-IN" w:eastAsia="en-GB"/>
                <w14:ligatures w14:val="none"/>
              </w:rPr>
              <w:t>Afforestation and reforestation of degraded mangrove habitats (BM FR05.001)</w:t>
            </w:r>
          </w:p>
          <w:p w14:paraId="4073F913" w14:textId="53C1B577" w:rsidR="00215CDA" w:rsidRPr="00215CDA" w:rsidRDefault="00A06B92" w:rsidP="00215CDA">
            <w:pPr>
              <w:textAlignment w:val="baseline"/>
              <w:rPr>
                <w:rFonts w:ascii="Calibri" w:eastAsia="Times New Roman" w:hAnsi="Calibri" w:cs="Calibri"/>
                <w:kern w:val="0"/>
                <w:lang w:val="en-IN" w:eastAsia="en-GB"/>
                <w14:ligatures w14:val="none"/>
              </w:rPr>
            </w:pPr>
            <w:hyperlink r:id="rId19" w:history="1">
              <w:r w:rsidRPr="0060492F">
                <w:rPr>
                  <w:rStyle w:val="Hyperlink"/>
                  <w:rFonts w:ascii="Calibri" w:eastAsia="Times New Roman" w:hAnsi="Calibri" w:cs="Calibri"/>
                  <w:kern w:val="0"/>
                  <w:lang w:val="en-IN" w:eastAsia="en-GB"/>
                  <w14:ligatures w14:val="none"/>
                </w:rPr>
                <w:t>https://web.archive.org/web/20250708125430/https://beeindia.gov.in/en/programmes/carbon-market</w:t>
              </w:r>
            </w:hyperlink>
            <w:r>
              <w:rPr>
                <w:rFonts w:ascii="Calibri" w:eastAsia="Times New Roman" w:hAnsi="Calibri" w:cs="Calibri"/>
                <w:kern w:val="0"/>
                <w:lang w:val="en-IN" w:eastAsia="en-GB"/>
                <w14:ligatures w14:val="none"/>
              </w:rPr>
              <w:t xml:space="preserve">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E83B2F1" w:rsidR="00DD694D" w:rsidRPr="00CF2E7C" w:rsidRDefault="001B06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B244E5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0672">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F97CD5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0672">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5D14A3C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3FC2">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BD52F7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F4370F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0672">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21E9F8F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0672">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36375888" w:rsidR="00DD694D" w:rsidRPr="00CF2E7C" w:rsidRDefault="002475EE" w:rsidP="00F7115C">
            <w:pPr>
              <w:jc w:val="both"/>
              <w:textAlignment w:val="baseline"/>
              <w:rPr>
                <w:rFonts w:ascii="Calibri" w:eastAsia="Times New Roman" w:hAnsi="Calibri" w:cs="Calibri"/>
                <w:kern w:val="0"/>
                <w:lang w:eastAsia="en-GB"/>
                <w14:ligatures w14:val="none"/>
              </w:rPr>
            </w:pPr>
            <w:r w:rsidRPr="002475EE">
              <w:rPr>
                <w:rFonts w:ascii="Calibri" w:eastAsia="Times New Roman" w:hAnsi="Calibri" w:cs="Calibri"/>
                <w:kern w:val="0"/>
                <w:lang w:eastAsia="en-GB"/>
                <w14:ligatures w14:val="none"/>
              </w:rPr>
              <w:t>The policy includes a requirement for project alignment with Sustainable Development Goals (SDGs), as per Section B2.1(e). Projects must demonstrate quantification of positive impacts under each SDG target and indicator. However, the tool does not explicitly mention prior consultations, FPIC, or co-benefit sharing with communities. Therefore, while SDG alignment is required, broader social integrity elements (consultation, consent, benefit-sharing) are not specified.</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31160561" w:rsidR="002119B6" w:rsidRPr="00CF2E7C" w:rsidRDefault="00572A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0FD5097" w:rsidR="00FE7FA5" w:rsidRPr="00CF2E7C" w:rsidRDefault="00E743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673AB26" w:rsidR="00FE7FA5" w:rsidRPr="00CF2E7C" w:rsidRDefault="00572AAA" w:rsidP="00F7115C">
            <w:pPr>
              <w:jc w:val="both"/>
              <w:textAlignment w:val="baseline"/>
              <w:rPr>
                <w:rFonts w:ascii="Calibri" w:eastAsia="Times New Roman" w:hAnsi="Calibri" w:cs="Calibri"/>
                <w:kern w:val="0"/>
                <w:lang w:eastAsia="en-GB"/>
                <w14:ligatures w14:val="none"/>
              </w:rPr>
            </w:pPr>
            <w:r w:rsidRPr="00572AAA">
              <w:rPr>
                <w:rFonts w:ascii="Calibri" w:eastAsia="Times New Roman" w:hAnsi="Calibri" w:cs="Calibri"/>
                <w:kern w:val="0"/>
                <w:lang w:eastAsia="en-GB"/>
                <w14:ligatures w14:val="none"/>
              </w:rPr>
              <w:t>No, the policy tool does not provide separate or explicit guidance regarding the use of carbon credits in the VCM. It defines the eligibility criteria and issuance conditions for CCCs under the Offset Mechanism of the Carbon Credit Trading Scheme, 2023, applicable to non-obligated entities. However, it does not distinguish credits intended for compliance markets from those for voluntary use, nor does it prescribe specific eligibility filters, standards, or procedures exclusively for VCM purposes.</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1C767D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62EB7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247D6FE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8E8C2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EA2D3C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92C4FA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DFE081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4C4F58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0B0C15A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54BD">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1625EC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102E">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DC7681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102E">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AFDE89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102E">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4B24EE4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102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DB05FA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102E">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8DE83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102E">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4A628CA5" w:rsidR="00FE7FA5" w:rsidRPr="009C4D10" w:rsidRDefault="00E17DF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2E36E" w14:textId="77777777" w:rsidR="00E512E6" w:rsidRPr="00C607CC" w:rsidRDefault="00E512E6" w:rsidP="00F7115C">
            <w:pPr>
              <w:jc w:val="both"/>
              <w:textAlignment w:val="baseline"/>
              <w:rPr>
                <w:rFonts w:eastAsia="Times New Roman" w:cstheme="minorHAnsi"/>
                <w:kern w:val="0"/>
                <w:lang w:val="en-IN" w:eastAsia="en-GB"/>
                <w14:ligatures w14:val="none"/>
              </w:rPr>
            </w:pPr>
            <w:r w:rsidRPr="00C607CC">
              <w:rPr>
                <w:rFonts w:eastAsia="Times New Roman" w:cstheme="minorHAnsi"/>
                <w:kern w:val="0"/>
                <w:lang w:val="en-IN" w:eastAsia="en-GB"/>
                <w14:ligatures w14:val="none"/>
              </w:rPr>
              <w:t xml:space="preserve">The policy tool explicitly references </w:t>
            </w:r>
            <w:r w:rsidRPr="00F7115C">
              <w:rPr>
                <w:rFonts w:eastAsia="Times New Roman" w:cstheme="minorHAnsi"/>
                <w:kern w:val="0"/>
                <w:lang w:val="en-IN" w:eastAsia="en-GB"/>
                <w14:ligatures w14:val="none"/>
              </w:rPr>
              <w:t>Article 6.4 of the Paris Agreement</w:t>
            </w:r>
            <w:r w:rsidRPr="00C607CC">
              <w:rPr>
                <w:rFonts w:eastAsia="Times New Roman" w:cstheme="minorHAnsi"/>
                <w:kern w:val="0"/>
                <w:lang w:val="en-IN" w:eastAsia="en-GB"/>
                <w14:ligatures w14:val="none"/>
              </w:rPr>
              <w:t xml:space="preserve">. Section </w:t>
            </w:r>
            <w:r w:rsidRPr="00F7115C">
              <w:rPr>
                <w:rFonts w:eastAsia="Times New Roman" w:cstheme="minorHAnsi"/>
                <w:kern w:val="0"/>
                <w:lang w:val="en-IN" w:eastAsia="en-GB"/>
                <w14:ligatures w14:val="none"/>
              </w:rPr>
              <w:t>E4.1</w:t>
            </w:r>
            <w:r w:rsidRPr="00C607CC">
              <w:rPr>
                <w:rFonts w:eastAsia="Times New Roman" w:cstheme="minorHAnsi"/>
                <w:kern w:val="0"/>
                <w:lang w:val="en-IN" w:eastAsia="en-GB"/>
                <w14:ligatures w14:val="none"/>
              </w:rPr>
              <w:t xml:space="preserve"> of the </w:t>
            </w:r>
            <w:r w:rsidRPr="00C607CC">
              <w:rPr>
                <w:rFonts w:eastAsia="Times New Roman" w:cstheme="minorHAnsi"/>
                <w:i/>
                <w:iCs/>
                <w:kern w:val="0"/>
                <w:lang w:val="en-IN" w:eastAsia="en-GB"/>
                <w14:ligatures w14:val="none"/>
              </w:rPr>
              <w:t>Detailed Procedure for Offset Mechanism</w:t>
            </w:r>
            <w:r w:rsidRPr="00C607CC">
              <w:rPr>
                <w:rFonts w:eastAsia="Times New Roman" w:cstheme="minorHAnsi"/>
                <w:kern w:val="0"/>
                <w:lang w:val="en-IN" w:eastAsia="en-GB"/>
                <w14:ligatures w14:val="none"/>
              </w:rPr>
              <w:t xml:space="preserve"> states:</w:t>
            </w:r>
          </w:p>
          <w:p w14:paraId="286BBE7E" w14:textId="77777777" w:rsidR="00E512E6" w:rsidRPr="00C607CC" w:rsidRDefault="00E512E6" w:rsidP="00F7115C">
            <w:pPr>
              <w:ind w:left="720"/>
              <w:jc w:val="both"/>
              <w:textAlignment w:val="baseline"/>
              <w:rPr>
                <w:rFonts w:eastAsia="Times New Roman" w:cstheme="minorHAnsi"/>
                <w:kern w:val="0"/>
                <w:lang w:val="en-IN" w:eastAsia="en-GB"/>
                <w14:ligatures w14:val="none"/>
              </w:rPr>
            </w:pPr>
            <w:r w:rsidRPr="00C607CC">
              <w:rPr>
                <w:rFonts w:eastAsia="Times New Roman" w:cstheme="minorHAnsi"/>
                <w:kern w:val="0"/>
                <w:lang w:val="en-IN" w:eastAsia="en-GB"/>
                <w14:ligatures w14:val="none"/>
              </w:rPr>
              <w:t xml:space="preserve">“Methodologies... shall follow the latest guidelines and requirements of the Development and Assessment of Article 6.4 Mechanism Methodologies Standard under Article 6.4 (Paris Agreement Crediting </w:t>
            </w:r>
            <w:proofErr w:type="gramStart"/>
            <w:r w:rsidRPr="00C607CC">
              <w:rPr>
                <w:rFonts w:eastAsia="Times New Roman" w:cstheme="minorHAnsi"/>
                <w:kern w:val="0"/>
                <w:lang w:val="en-IN" w:eastAsia="en-GB"/>
                <w14:ligatures w14:val="none"/>
              </w:rPr>
              <w:t>Mechanism)...</w:t>
            </w:r>
            <w:proofErr w:type="gramEnd"/>
            <w:r w:rsidRPr="00C607CC">
              <w:rPr>
                <w:rFonts w:eastAsia="Times New Roman" w:cstheme="minorHAnsi"/>
                <w:kern w:val="0"/>
                <w:lang w:val="en-IN" w:eastAsia="en-GB"/>
                <w14:ligatures w14:val="none"/>
              </w:rPr>
              <w:t>”</w:t>
            </w:r>
          </w:p>
          <w:p w14:paraId="48779ED8" w14:textId="74A14093" w:rsidR="00E512E6" w:rsidRPr="00C607CC" w:rsidRDefault="00E512E6" w:rsidP="00F7115C">
            <w:pPr>
              <w:jc w:val="both"/>
              <w:textAlignment w:val="baseline"/>
              <w:rPr>
                <w:rFonts w:eastAsia="Times New Roman" w:cstheme="minorHAnsi"/>
                <w:kern w:val="0"/>
                <w:lang w:val="en-IN" w:eastAsia="en-GB"/>
                <w14:ligatures w14:val="none"/>
              </w:rPr>
            </w:pPr>
            <w:r w:rsidRPr="00C607CC">
              <w:rPr>
                <w:rFonts w:eastAsia="Times New Roman" w:cstheme="minorHAnsi"/>
                <w:kern w:val="0"/>
                <w:lang w:val="en-IN" w:eastAsia="en-GB"/>
                <w14:ligatures w14:val="none"/>
              </w:rPr>
              <w:t xml:space="preserve">This indicates clear compliance with and operationalization of the </w:t>
            </w:r>
            <w:r w:rsidRPr="00F7115C">
              <w:rPr>
                <w:rFonts w:eastAsia="Times New Roman" w:cstheme="minorHAnsi"/>
                <w:kern w:val="0"/>
                <w:lang w:val="en-IN" w:eastAsia="en-GB"/>
                <w14:ligatures w14:val="none"/>
              </w:rPr>
              <w:t>Article 6.4 framework</w:t>
            </w:r>
            <w:r w:rsidRPr="00C607CC">
              <w:rPr>
                <w:rFonts w:eastAsia="Times New Roman" w:cstheme="minorHAnsi"/>
                <w:kern w:val="0"/>
                <w:lang w:val="en-IN" w:eastAsia="en-GB"/>
                <w14:ligatures w14:val="none"/>
              </w:rPr>
              <w:t xml:space="preserve">. </w:t>
            </w:r>
          </w:p>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145A35CC" w:rsidR="00392F82" w:rsidRPr="009C4D10" w:rsidRDefault="00EB64B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1E19B5AD"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EB64B3">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D4A70A" w14:textId="77777777" w:rsidR="00572AAA" w:rsidRPr="00572AAA" w:rsidRDefault="00572AAA" w:rsidP="00572AAA">
            <w:pPr>
              <w:jc w:val="both"/>
              <w:textAlignment w:val="baseline"/>
              <w:rPr>
                <w:rFonts w:eastAsia="Times New Roman" w:cstheme="minorHAnsi"/>
                <w:kern w:val="0"/>
                <w:lang w:val="en-IN" w:eastAsia="en-GB"/>
                <w14:ligatures w14:val="none"/>
              </w:rPr>
            </w:pPr>
            <w:r w:rsidRPr="00572AAA">
              <w:rPr>
                <w:rFonts w:eastAsia="Times New Roman" w:cstheme="minorHAnsi"/>
                <w:kern w:val="0"/>
                <w:lang w:val="en-IN" w:eastAsia="en-GB"/>
                <w14:ligatures w14:val="none"/>
              </w:rPr>
              <w:t>The policy tool regulates carbon credit trading through a dual framework: domestic market regulation and conditional international transfers.</w:t>
            </w:r>
          </w:p>
          <w:p w14:paraId="6818FCFA" w14:textId="77777777" w:rsidR="00572AAA" w:rsidRPr="00572AAA" w:rsidRDefault="00572AAA" w:rsidP="00572AAA">
            <w:pPr>
              <w:jc w:val="both"/>
              <w:textAlignment w:val="baseline"/>
              <w:rPr>
                <w:rFonts w:eastAsia="Times New Roman" w:cstheme="minorHAnsi"/>
                <w:kern w:val="0"/>
                <w:lang w:val="en-IN" w:eastAsia="en-GB"/>
                <w14:ligatures w14:val="none"/>
              </w:rPr>
            </w:pPr>
          </w:p>
          <w:p w14:paraId="7C1485AF" w14:textId="11A07372" w:rsidR="00572AAA" w:rsidRPr="00572AAA" w:rsidRDefault="00572AAA" w:rsidP="00F7115C">
            <w:pPr>
              <w:pStyle w:val="ListParagraph"/>
              <w:numPr>
                <w:ilvl w:val="0"/>
                <w:numId w:val="9"/>
              </w:numPr>
              <w:jc w:val="both"/>
              <w:textAlignment w:val="baseline"/>
              <w:rPr>
                <w:rFonts w:eastAsia="Times New Roman" w:cstheme="minorHAnsi"/>
                <w:kern w:val="0"/>
                <w:lang w:val="en-IN" w:eastAsia="en-GB"/>
                <w14:ligatures w14:val="none"/>
              </w:rPr>
            </w:pPr>
            <w:r w:rsidRPr="00572AAA">
              <w:rPr>
                <w:rFonts w:eastAsia="Times New Roman" w:cstheme="minorHAnsi"/>
                <w:kern w:val="0"/>
                <w:lang w:val="en-IN" w:eastAsia="en-GB"/>
                <w14:ligatures w14:val="none"/>
              </w:rPr>
              <w:t>Domestic Trading: Rule 10 of the CCTS specifies that CCCs may only be traded on power exchanges registered with the CERC. These exchanges must operate in accordance with CERC-approved bylaws and the CERC (Power Market) Regulations, 2021, thereby ensuring that CCCs are traded exclusively via regulated electronic platforms.</w:t>
            </w:r>
          </w:p>
          <w:p w14:paraId="1719D275" w14:textId="607CBC25" w:rsidR="00572AAA" w:rsidRPr="00572AAA" w:rsidRDefault="00572AAA" w:rsidP="00F7115C">
            <w:pPr>
              <w:pStyle w:val="ListParagraph"/>
              <w:numPr>
                <w:ilvl w:val="0"/>
                <w:numId w:val="9"/>
              </w:numPr>
              <w:jc w:val="both"/>
              <w:textAlignment w:val="baseline"/>
              <w:rPr>
                <w:rFonts w:eastAsia="Times New Roman" w:cstheme="minorHAnsi"/>
                <w:kern w:val="0"/>
                <w:lang w:val="en-IN" w:eastAsia="en-GB"/>
                <w14:ligatures w14:val="none"/>
              </w:rPr>
            </w:pPr>
            <w:r w:rsidRPr="00572AAA">
              <w:rPr>
                <w:rFonts w:eastAsia="Times New Roman" w:cstheme="minorHAnsi"/>
                <w:kern w:val="0"/>
                <w:lang w:val="en-IN" w:eastAsia="en-GB"/>
                <w14:ligatures w14:val="none"/>
              </w:rPr>
              <w:t>International Transfers: As per Section A7.2.3 of the Detailed Procedure for Offset Mechanism, CCCs may be transferred internationally via the ICM portal only for project activities approved under Article 6.2 of the Paris Agreement by the MoEFCC. This establishes an explicit procedural link to bilateral international carbon credit trading.</w:t>
            </w:r>
          </w:p>
          <w:p w14:paraId="54AB987C" w14:textId="77777777" w:rsidR="00572AAA" w:rsidRPr="00572AAA" w:rsidRDefault="00572AAA" w:rsidP="00572AAA">
            <w:pPr>
              <w:jc w:val="both"/>
              <w:textAlignment w:val="baseline"/>
              <w:rPr>
                <w:rFonts w:eastAsia="Times New Roman" w:cstheme="minorHAnsi"/>
                <w:kern w:val="0"/>
                <w:lang w:val="en-IN" w:eastAsia="en-GB"/>
                <w14:ligatures w14:val="none"/>
              </w:rPr>
            </w:pPr>
          </w:p>
          <w:p w14:paraId="6108FF67" w14:textId="6AD67760" w:rsidR="00392F82" w:rsidRPr="00572AAA" w:rsidRDefault="00572AAA" w:rsidP="00F7115C">
            <w:pPr>
              <w:jc w:val="both"/>
              <w:textAlignment w:val="baseline"/>
              <w:rPr>
                <w:rFonts w:eastAsia="Times New Roman" w:cstheme="minorHAnsi"/>
                <w:i/>
                <w:iCs/>
                <w:kern w:val="0"/>
                <w:lang w:val="en-IN" w:eastAsia="en-GB"/>
                <w14:ligatures w14:val="none"/>
              </w:rPr>
            </w:pPr>
            <w:r w:rsidRPr="00572AAA">
              <w:rPr>
                <w:rFonts w:eastAsia="Times New Roman" w:cstheme="minorHAnsi"/>
                <w:i/>
                <w:iCs/>
                <w:kern w:val="0"/>
                <w:lang w:val="en-IN" w:eastAsia="en-GB"/>
                <w14:ligatures w14:val="none"/>
              </w:rPr>
              <w:t>Note: The legal classification of CCCs as a financial instrument is not defined under the CCTS or related regulations.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9579A" w14:textId="5BE042F2" w:rsidR="00572AAA" w:rsidRPr="00572AAA" w:rsidRDefault="00572AAA" w:rsidP="00572AAA">
            <w:pPr>
              <w:jc w:val="both"/>
              <w:textAlignment w:val="baseline"/>
              <w:rPr>
                <w:rFonts w:eastAsia="Times New Roman" w:cstheme="minorHAnsi"/>
                <w:kern w:val="0"/>
                <w:lang w:eastAsia="en-GB"/>
                <w14:ligatures w14:val="none"/>
              </w:rPr>
            </w:pPr>
            <w:r w:rsidRPr="00572AAA">
              <w:rPr>
                <w:rFonts w:eastAsia="Times New Roman" w:cstheme="minorHAnsi"/>
                <w:kern w:val="0"/>
                <w:lang w:eastAsia="en-GB"/>
                <w14:ligatures w14:val="none"/>
              </w:rPr>
              <w:t>The CCTS and the Detailed Procedure for Offset Mechanism contain binding provisions to ensure market integrity and orderly exchange of CCCs:</w:t>
            </w:r>
          </w:p>
          <w:p w14:paraId="1154CEC1" w14:textId="77777777" w:rsidR="00572AAA" w:rsidRPr="00572AAA" w:rsidRDefault="00572AAA" w:rsidP="00F7115C">
            <w:pPr>
              <w:pStyle w:val="ListParagraph"/>
              <w:numPr>
                <w:ilvl w:val="0"/>
                <w:numId w:val="10"/>
              </w:numPr>
              <w:jc w:val="both"/>
              <w:textAlignment w:val="baseline"/>
              <w:rPr>
                <w:rFonts w:eastAsia="Times New Roman" w:cstheme="minorHAnsi"/>
                <w:kern w:val="0"/>
                <w:lang w:eastAsia="en-GB"/>
                <w14:ligatures w14:val="none"/>
              </w:rPr>
            </w:pPr>
            <w:r w:rsidRPr="00572AAA">
              <w:rPr>
                <w:rFonts w:eastAsia="Times New Roman" w:cstheme="minorHAnsi"/>
                <w:kern w:val="0"/>
                <w:lang w:eastAsia="en-GB"/>
                <w14:ligatures w14:val="none"/>
              </w:rPr>
              <w:t xml:space="preserve">Regulated Exchanges: Rule 10 of the CCTS mandates that CCCs be traded only on CERC-registered power exchanges, operating under approved </w:t>
            </w:r>
            <w:proofErr w:type="gramStart"/>
            <w:r w:rsidRPr="00572AAA">
              <w:rPr>
                <w:rFonts w:eastAsia="Times New Roman" w:cstheme="minorHAnsi"/>
                <w:kern w:val="0"/>
                <w:lang w:eastAsia="en-GB"/>
                <w14:ligatures w14:val="none"/>
              </w:rPr>
              <w:t>bye-laws</w:t>
            </w:r>
            <w:proofErr w:type="gramEnd"/>
            <w:r w:rsidRPr="00572AAA">
              <w:rPr>
                <w:rFonts w:eastAsia="Times New Roman" w:cstheme="minorHAnsi"/>
                <w:kern w:val="0"/>
                <w:lang w:eastAsia="en-GB"/>
                <w14:ligatures w14:val="none"/>
              </w:rPr>
              <w:t xml:space="preserve"> and CERC regulations.</w:t>
            </w:r>
          </w:p>
          <w:p w14:paraId="0FE6FAC6" w14:textId="77777777" w:rsidR="00572AAA" w:rsidRPr="00572AAA" w:rsidRDefault="00572AAA" w:rsidP="00F7115C">
            <w:pPr>
              <w:pStyle w:val="ListParagraph"/>
              <w:numPr>
                <w:ilvl w:val="0"/>
                <w:numId w:val="10"/>
              </w:numPr>
              <w:jc w:val="both"/>
              <w:textAlignment w:val="baseline"/>
              <w:rPr>
                <w:rFonts w:eastAsia="Times New Roman" w:cstheme="minorHAnsi"/>
                <w:kern w:val="0"/>
                <w:lang w:eastAsia="en-GB"/>
                <w14:ligatures w14:val="none"/>
              </w:rPr>
            </w:pPr>
            <w:r w:rsidRPr="00572AAA">
              <w:rPr>
                <w:rFonts w:eastAsia="Times New Roman" w:cstheme="minorHAnsi"/>
                <w:kern w:val="0"/>
                <w:lang w:eastAsia="en-GB"/>
                <w14:ligatures w14:val="none"/>
              </w:rPr>
              <w:t>Registry Controls: Rule 6(2) designates the Grid Controller of India Limited as the registry, responsible for maintaining secure records, supporting a meta-registry, and preventing duplicate issuance or transfers.</w:t>
            </w:r>
          </w:p>
          <w:p w14:paraId="4C92B3EF" w14:textId="28EF5D5E" w:rsidR="00572AAA" w:rsidRPr="00572AAA" w:rsidRDefault="00572AAA" w:rsidP="00F7115C">
            <w:pPr>
              <w:pStyle w:val="ListParagraph"/>
              <w:numPr>
                <w:ilvl w:val="0"/>
                <w:numId w:val="10"/>
              </w:numPr>
              <w:jc w:val="both"/>
              <w:textAlignment w:val="baseline"/>
              <w:rPr>
                <w:rFonts w:eastAsia="Times New Roman" w:cstheme="minorHAnsi"/>
                <w:kern w:val="0"/>
                <w:lang w:eastAsia="en-GB"/>
                <w14:ligatures w14:val="none"/>
              </w:rPr>
            </w:pPr>
            <w:r w:rsidRPr="00572AAA">
              <w:rPr>
                <w:rFonts w:eastAsia="Times New Roman" w:cstheme="minorHAnsi"/>
                <w:kern w:val="0"/>
                <w:lang w:eastAsia="en-GB"/>
                <w14:ligatures w14:val="none"/>
              </w:rPr>
              <w:t>Double Counting Prohibition: Sections B3.5, C4.3, and C4.4 of the Detailed Procedure require non-obligated entities and ACVAs to ensure credits are not double counted or issued under other mechanisms.</w:t>
            </w:r>
          </w:p>
          <w:p w14:paraId="4656A85F" w14:textId="329BB372" w:rsidR="00392F82" w:rsidRPr="00572AAA" w:rsidRDefault="00572AAA" w:rsidP="00F7115C">
            <w:pPr>
              <w:pStyle w:val="ListParagraph"/>
              <w:numPr>
                <w:ilvl w:val="0"/>
                <w:numId w:val="10"/>
              </w:numPr>
              <w:jc w:val="both"/>
              <w:textAlignment w:val="baseline"/>
              <w:rPr>
                <w:rFonts w:eastAsia="Times New Roman" w:cstheme="minorHAnsi"/>
                <w:kern w:val="0"/>
                <w:lang w:eastAsia="en-GB"/>
                <w14:ligatures w14:val="none"/>
              </w:rPr>
            </w:pPr>
            <w:r w:rsidRPr="00572AAA">
              <w:rPr>
                <w:rFonts w:eastAsia="Times New Roman" w:cstheme="minorHAnsi"/>
                <w:kern w:val="0"/>
                <w:lang w:eastAsia="en-GB"/>
                <w14:ligatures w14:val="none"/>
              </w:rPr>
              <w:t>International Transfers: Section A7.2.3 permits CCC transfers outside India only if approved under Article 6.2 of the Paris Agreement by MoEFCC via the ICM portal.</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7115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7115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45C89E" w14:textId="77777777" w:rsidR="0045682F" w:rsidRDefault="0045682F" w:rsidP="00874E39">
      <w:r>
        <w:separator/>
      </w:r>
    </w:p>
  </w:endnote>
  <w:endnote w:type="continuationSeparator" w:id="0">
    <w:p w14:paraId="26CC0BE2" w14:textId="77777777" w:rsidR="0045682F" w:rsidRDefault="0045682F" w:rsidP="00874E39">
      <w:r>
        <w:continuationSeparator/>
      </w:r>
    </w:p>
  </w:endnote>
  <w:endnote w:type="continuationNotice" w:id="1">
    <w:p w14:paraId="347CC8B7" w14:textId="77777777" w:rsidR="0045682F" w:rsidRDefault="004568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6D7C77" w14:textId="77777777" w:rsidR="0045682F" w:rsidRDefault="0045682F" w:rsidP="00874E39">
      <w:r>
        <w:separator/>
      </w:r>
    </w:p>
  </w:footnote>
  <w:footnote w:type="continuationSeparator" w:id="0">
    <w:p w14:paraId="75612257" w14:textId="77777777" w:rsidR="0045682F" w:rsidRDefault="0045682F" w:rsidP="00874E39">
      <w:r>
        <w:continuationSeparator/>
      </w:r>
    </w:p>
  </w:footnote>
  <w:footnote w:type="continuationNotice" w:id="1">
    <w:p w14:paraId="0BC84B3B" w14:textId="77777777" w:rsidR="0045682F" w:rsidRDefault="004568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73424A"/>
    <w:multiLevelType w:val="multilevel"/>
    <w:tmpl w:val="900A4E90"/>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1832606E"/>
    <w:multiLevelType w:val="hybridMultilevel"/>
    <w:tmpl w:val="57FA7FB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 w15:restartNumberingAfterBreak="0">
    <w:nsid w:val="29696782"/>
    <w:multiLevelType w:val="multilevel"/>
    <w:tmpl w:val="8242B9A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2B6F0EC1"/>
    <w:multiLevelType w:val="hybridMultilevel"/>
    <w:tmpl w:val="75FEEC80"/>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 w15:restartNumberingAfterBreak="0">
    <w:nsid w:val="306D023D"/>
    <w:multiLevelType w:val="multilevel"/>
    <w:tmpl w:val="3ECC960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6" w15:restartNumberingAfterBreak="0">
    <w:nsid w:val="47844F17"/>
    <w:multiLevelType w:val="hybridMultilevel"/>
    <w:tmpl w:val="C7F0F1AE"/>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D26097B"/>
    <w:multiLevelType w:val="hybridMultilevel"/>
    <w:tmpl w:val="72EE79C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6F1F4D0F"/>
    <w:multiLevelType w:val="hybridMultilevel"/>
    <w:tmpl w:val="DFBCB7B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0" w15:restartNumberingAfterBreak="0">
    <w:nsid w:val="712614F3"/>
    <w:multiLevelType w:val="hybridMultilevel"/>
    <w:tmpl w:val="28DE5054"/>
    <w:lvl w:ilvl="0" w:tplc="50CABE5A">
      <w:start w:val="1"/>
      <w:numFmt w:val="lowerRoman"/>
      <w:lvlText w:val="%1)"/>
      <w:lvlJc w:val="left"/>
      <w:pPr>
        <w:ind w:left="720" w:hanging="72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num w:numId="1" w16cid:durableId="342588554">
    <w:abstractNumId w:val="5"/>
  </w:num>
  <w:num w:numId="2" w16cid:durableId="318391343">
    <w:abstractNumId w:val="7"/>
  </w:num>
  <w:num w:numId="3" w16cid:durableId="330108743">
    <w:abstractNumId w:val="6"/>
  </w:num>
  <w:num w:numId="4" w16cid:durableId="1150944256">
    <w:abstractNumId w:val="10"/>
  </w:num>
  <w:num w:numId="5" w16cid:durableId="646202769">
    <w:abstractNumId w:val="2"/>
  </w:num>
  <w:num w:numId="6" w16cid:durableId="1624187689">
    <w:abstractNumId w:val="1"/>
  </w:num>
  <w:num w:numId="7" w16cid:durableId="1080054563">
    <w:abstractNumId w:val="4"/>
  </w:num>
  <w:num w:numId="8" w16cid:durableId="557130002">
    <w:abstractNumId w:val="0"/>
  </w:num>
  <w:num w:numId="9" w16cid:durableId="1288002330">
    <w:abstractNumId w:val="3"/>
  </w:num>
  <w:num w:numId="10" w16cid:durableId="2028680371">
    <w:abstractNumId w:val="9"/>
  </w:num>
  <w:num w:numId="11" w16cid:durableId="1555849013">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FD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C47"/>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573"/>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72"/>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8A8"/>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686"/>
    <w:rsid w:val="0021535C"/>
    <w:rsid w:val="00215CDA"/>
    <w:rsid w:val="00216517"/>
    <w:rsid w:val="0021729E"/>
    <w:rsid w:val="00220F36"/>
    <w:rsid w:val="0022102E"/>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B2E"/>
    <w:rsid w:val="00244207"/>
    <w:rsid w:val="00246630"/>
    <w:rsid w:val="002475EE"/>
    <w:rsid w:val="00247DE7"/>
    <w:rsid w:val="002500FA"/>
    <w:rsid w:val="00250ED8"/>
    <w:rsid w:val="00250F54"/>
    <w:rsid w:val="0025129B"/>
    <w:rsid w:val="0025449C"/>
    <w:rsid w:val="002552C9"/>
    <w:rsid w:val="0025765F"/>
    <w:rsid w:val="00257732"/>
    <w:rsid w:val="00264CBC"/>
    <w:rsid w:val="00264FFD"/>
    <w:rsid w:val="0026588F"/>
    <w:rsid w:val="0026642F"/>
    <w:rsid w:val="00267681"/>
    <w:rsid w:val="002679A5"/>
    <w:rsid w:val="0027067C"/>
    <w:rsid w:val="00270A4D"/>
    <w:rsid w:val="00272D9A"/>
    <w:rsid w:val="002737EF"/>
    <w:rsid w:val="00274335"/>
    <w:rsid w:val="00274864"/>
    <w:rsid w:val="00274B22"/>
    <w:rsid w:val="00277FC5"/>
    <w:rsid w:val="00284494"/>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075"/>
    <w:rsid w:val="002E1EE8"/>
    <w:rsid w:val="002E26A5"/>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BD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D2"/>
    <w:rsid w:val="00313275"/>
    <w:rsid w:val="00313E83"/>
    <w:rsid w:val="00315339"/>
    <w:rsid w:val="003175A1"/>
    <w:rsid w:val="003218C6"/>
    <w:rsid w:val="00322783"/>
    <w:rsid w:val="00322BCF"/>
    <w:rsid w:val="003243E3"/>
    <w:rsid w:val="00324698"/>
    <w:rsid w:val="00325558"/>
    <w:rsid w:val="00325771"/>
    <w:rsid w:val="00325E0E"/>
    <w:rsid w:val="003310EC"/>
    <w:rsid w:val="00331C00"/>
    <w:rsid w:val="003320C7"/>
    <w:rsid w:val="00333ED6"/>
    <w:rsid w:val="00334282"/>
    <w:rsid w:val="003363CC"/>
    <w:rsid w:val="0033659B"/>
    <w:rsid w:val="0033727F"/>
    <w:rsid w:val="00340521"/>
    <w:rsid w:val="003421A5"/>
    <w:rsid w:val="003423AA"/>
    <w:rsid w:val="00343665"/>
    <w:rsid w:val="00343937"/>
    <w:rsid w:val="00343B21"/>
    <w:rsid w:val="00344B03"/>
    <w:rsid w:val="00345B1A"/>
    <w:rsid w:val="00346D03"/>
    <w:rsid w:val="003473CB"/>
    <w:rsid w:val="00347515"/>
    <w:rsid w:val="00347703"/>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781"/>
    <w:rsid w:val="003E38C7"/>
    <w:rsid w:val="003E43FE"/>
    <w:rsid w:val="003E52BF"/>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6AC"/>
    <w:rsid w:val="004205C2"/>
    <w:rsid w:val="004222DF"/>
    <w:rsid w:val="00422625"/>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82F"/>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228"/>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E48"/>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7F4"/>
    <w:rsid w:val="00530958"/>
    <w:rsid w:val="00532585"/>
    <w:rsid w:val="00532B66"/>
    <w:rsid w:val="00536287"/>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5DE"/>
    <w:rsid w:val="0055251F"/>
    <w:rsid w:val="00553BB6"/>
    <w:rsid w:val="00554079"/>
    <w:rsid w:val="00554F39"/>
    <w:rsid w:val="0055593D"/>
    <w:rsid w:val="005576AE"/>
    <w:rsid w:val="00561537"/>
    <w:rsid w:val="00563224"/>
    <w:rsid w:val="00563432"/>
    <w:rsid w:val="00566FDB"/>
    <w:rsid w:val="00570082"/>
    <w:rsid w:val="00571BA3"/>
    <w:rsid w:val="005722D9"/>
    <w:rsid w:val="00572AAA"/>
    <w:rsid w:val="005733AF"/>
    <w:rsid w:val="00574C66"/>
    <w:rsid w:val="005758ED"/>
    <w:rsid w:val="00575D67"/>
    <w:rsid w:val="005766F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43E"/>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5B4D"/>
    <w:rsid w:val="005D7CD4"/>
    <w:rsid w:val="005E0296"/>
    <w:rsid w:val="005E264E"/>
    <w:rsid w:val="005E2F27"/>
    <w:rsid w:val="005E50FD"/>
    <w:rsid w:val="005E603A"/>
    <w:rsid w:val="005E62F9"/>
    <w:rsid w:val="005E6D04"/>
    <w:rsid w:val="005E78BA"/>
    <w:rsid w:val="005F0524"/>
    <w:rsid w:val="005F196E"/>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442"/>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3E8"/>
    <w:rsid w:val="00671EA4"/>
    <w:rsid w:val="006736BC"/>
    <w:rsid w:val="006746D5"/>
    <w:rsid w:val="0067532A"/>
    <w:rsid w:val="00675752"/>
    <w:rsid w:val="006770B7"/>
    <w:rsid w:val="006801E4"/>
    <w:rsid w:val="00680329"/>
    <w:rsid w:val="00683A9D"/>
    <w:rsid w:val="00683DB5"/>
    <w:rsid w:val="00685037"/>
    <w:rsid w:val="00685A4F"/>
    <w:rsid w:val="006878AC"/>
    <w:rsid w:val="00690B2A"/>
    <w:rsid w:val="00691A69"/>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804"/>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68A"/>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810"/>
    <w:rsid w:val="007250B7"/>
    <w:rsid w:val="007274CB"/>
    <w:rsid w:val="0072785A"/>
    <w:rsid w:val="00730E27"/>
    <w:rsid w:val="007312A3"/>
    <w:rsid w:val="007326C2"/>
    <w:rsid w:val="00732D3A"/>
    <w:rsid w:val="007335CD"/>
    <w:rsid w:val="0073361B"/>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904"/>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0D"/>
    <w:rsid w:val="007E5B48"/>
    <w:rsid w:val="007E6FBE"/>
    <w:rsid w:val="007E7A25"/>
    <w:rsid w:val="007F0C64"/>
    <w:rsid w:val="007F1507"/>
    <w:rsid w:val="007F4B4B"/>
    <w:rsid w:val="007F51CC"/>
    <w:rsid w:val="007F6DD7"/>
    <w:rsid w:val="007F71BD"/>
    <w:rsid w:val="007F7D9C"/>
    <w:rsid w:val="008013AF"/>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C37"/>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EAC"/>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85F"/>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5B8"/>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925"/>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291"/>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E85"/>
    <w:rsid w:val="009F7316"/>
    <w:rsid w:val="00A02AF3"/>
    <w:rsid w:val="00A035AB"/>
    <w:rsid w:val="00A04C9D"/>
    <w:rsid w:val="00A04DB8"/>
    <w:rsid w:val="00A050A2"/>
    <w:rsid w:val="00A05CFC"/>
    <w:rsid w:val="00A064CE"/>
    <w:rsid w:val="00A06B92"/>
    <w:rsid w:val="00A0773E"/>
    <w:rsid w:val="00A07FB5"/>
    <w:rsid w:val="00A1087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013"/>
    <w:rsid w:val="00A301E4"/>
    <w:rsid w:val="00A30D3A"/>
    <w:rsid w:val="00A310A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5C1"/>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900"/>
    <w:rsid w:val="00AA186B"/>
    <w:rsid w:val="00AA38F6"/>
    <w:rsid w:val="00AA4965"/>
    <w:rsid w:val="00AA6DDB"/>
    <w:rsid w:val="00AB0830"/>
    <w:rsid w:val="00AB2CCC"/>
    <w:rsid w:val="00AB4F2C"/>
    <w:rsid w:val="00AB64F8"/>
    <w:rsid w:val="00AB7C1D"/>
    <w:rsid w:val="00AC3F07"/>
    <w:rsid w:val="00AC6ECF"/>
    <w:rsid w:val="00AC7B6B"/>
    <w:rsid w:val="00AD1216"/>
    <w:rsid w:val="00AD1BC7"/>
    <w:rsid w:val="00AD1ED6"/>
    <w:rsid w:val="00AD4477"/>
    <w:rsid w:val="00AD4F51"/>
    <w:rsid w:val="00AD5285"/>
    <w:rsid w:val="00AD54D3"/>
    <w:rsid w:val="00AD70E0"/>
    <w:rsid w:val="00AD790D"/>
    <w:rsid w:val="00AE0028"/>
    <w:rsid w:val="00AE00FE"/>
    <w:rsid w:val="00AE0451"/>
    <w:rsid w:val="00AE0803"/>
    <w:rsid w:val="00AE0ADB"/>
    <w:rsid w:val="00AE2662"/>
    <w:rsid w:val="00AE3CBD"/>
    <w:rsid w:val="00AE5D21"/>
    <w:rsid w:val="00AE7C5F"/>
    <w:rsid w:val="00AF08A8"/>
    <w:rsid w:val="00AF2019"/>
    <w:rsid w:val="00AF26B7"/>
    <w:rsid w:val="00AF30FD"/>
    <w:rsid w:val="00AF3FC2"/>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603"/>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075"/>
    <w:rsid w:val="00BA2D3D"/>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F6D"/>
    <w:rsid w:val="00C1090B"/>
    <w:rsid w:val="00C10DD0"/>
    <w:rsid w:val="00C13017"/>
    <w:rsid w:val="00C13A38"/>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7CC"/>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937"/>
    <w:rsid w:val="00C73FAD"/>
    <w:rsid w:val="00C74636"/>
    <w:rsid w:val="00C74D69"/>
    <w:rsid w:val="00C75536"/>
    <w:rsid w:val="00C758F8"/>
    <w:rsid w:val="00C76B74"/>
    <w:rsid w:val="00C81DE5"/>
    <w:rsid w:val="00C82860"/>
    <w:rsid w:val="00C837C9"/>
    <w:rsid w:val="00C8396C"/>
    <w:rsid w:val="00C83BB1"/>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3A"/>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1F18"/>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F6B"/>
    <w:rsid w:val="00D56C47"/>
    <w:rsid w:val="00D56EA7"/>
    <w:rsid w:val="00D57AD5"/>
    <w:rsid w:val="00D6003F"/>
    <w:rsid w:val="00D60275"/>
    <w:rsid w:val="00D637B2"/>
    <w:rsid w:val="00D6386F"/>
    <w:rsid w:val="00D655E7"/>
    <w:rsid w:val="00D66DDD"/>
    <w:rsid w:val="00D67EB7"/>
    <w:rsid w:val="00D70367"/>
    <w:rsid w:val="00D715B2"/>
    <w:rsid w:val="00D7554F"/>
    <w:rsid w:val="00D765DD"/>
    <w:rsid w:val="00D76854"/>
    <w:rsid w:val="00D80C46"/>
    <w:rsid w:val="00D818DF"/>
    <w:rsid w:val="00D825A8"/>
    <w:rsid w:val="00D83201"/>
    <w:rsid w:val="00D8337E"/>
    <w:rsid w:val="00D8345D"/>
    <w:rsid w:val="00D84A97"/>
    <w:rsid w:val="00D87651"/>
    <w:rsid w:val="00D9109A"/>
    <w:rsid w:val="00D91F15"/>
    <w:rsid w:val="00D93138"/>
    <w:rsid w:val="00D93C78"/>
    <w:rsid w:val="00D94180"/>
    <w:rsid w:val="00D9431B"/>
    <w:rsid w:val="00D9559A"/>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17DF3"/>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4EA"/>
    <w:rsid w:val="00E37C8B"/>
    <w:rsid w:val="00E37ECE"/>
    <w:rsid w:val="00E405B9"/>
    <w:rsid w:val="00E41941"/>
    <w:rsid w:val="00E425D4"/>
    <w:rsid w:val="00E43229"/>
    <w:rsid w:val="00E454C9"/>
    <w:rsid w:val="00E50761"/>
    <w:rsid w:val="00E509D9"/>
    <w:rsid w:val="00E50B13"/>
    <w:rsid w:val="00E512E6"/>
    <w:rsid w:val="00E51B16"/>
    <w:rsid w:val="00E554A3"/>
    <w:rsid w:val="00E56917"/>
    <w:rsid w:val="00E573C2"/>
    <w:rsid w:val="00E579FC"/>
    <w:rsid w:val="00E603D8"/>
    <w:rsid w:val="00E60CA5"/>
    <w:rsid w:val="00E62117"/>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3F8"/>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6BE9"/>
    <w:rsid w:val="00E97C37"/>
    <w:rsid w:val="00E97D2E"/>
    <w:rsid w:val="00EA0025"/>
    <w:rsid w:val="00EA0BA6"/>
    <w:rsid w:val="00EA1CEC"/>
    <w:rsid w:val="00EA1D6A"/>
    <w:rsid w:val="00EA38F1"/>
    <w:rsid w:val="00EA4912"/>
    <w:rsid w:val="00EA4E12"/>
    <w:rsid w:val="00EA54BD"/>
    <w:rsid w:val="00EA5D38"/>
    <w:rsid w:val="00EA65D9"/>
    <w:rsid w:val="00EA67B3"/>
    <w:rsid w:val="00EA734B"/>
    <w:rsid w:val="00EA7A7E"/>
    <w:rsid w:val="00EB2081"/>
    <w:rsid w:val="00EB2852"/>
    <w:rsid w:val="00EB2E05"/>
    <w:rsid w:val="00EB348F"/>
    <w:rsid w:val="00EB39B5"/>
    <w:rsid w:val="00EB55BA"/>
    <w:rsid w:val="00EB64B3"/>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637"/>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051"/>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15C"/>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8AC"/>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96792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34584">
      <w:bodyDiv w:val="1"/>
      <w:marLeft w:val="0"/>
      <w:marRight w:val="0"/>
      <w:marTop w:val="0"/>
      <w:marBottom w:val="0"/>
      <w:divBdr>
        <w:top w:val="none" w:sz="0" w:space="0" w:color="auto"/>
        <w:left w:val="none" w:sz="0" w:space="0" w:color="auto"/>
        <w:bottom w:val="none" w:sz="0" w:space="0" w:color="auto"/>
        <w:right w:val="none" w:sz="0" w:space="0" w:color="auto"/>
      </w:divBdr>
      <w:divsChild>
        <w:div w:id="10392849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8084434">
      <w:bodyDiv w:val="1"/>
      <w:marLeft w:val="0"/>
      <w:marRight w:val="0"/>
      <w:marTop w:val="0"/>
      <w:marBottom w:val="0"/>
      <w:divBdr>
        <w:top w:val="none" w:sz="0" w:space="0" w:color="auto"/>
        <w:left w:val="none" w:sz="0" w:space="0" w:color="auto"/>
        <w:bottom w:val="none" w:sz="0" w:space="0" w:color="auto"/>
        <w:right w:val="none" w:sz="0" w:space="0" w:color="auto"/>
      </w:divBdr>
    </w:div>
    <w:div w:id="132331769">
      <w:bodyDiv w:val="1"/>
      <w:marLeft w:val="0"/>
      <w:marRight w:val="0"/>
      <w:marTop w:val="0"/>
      <w:marBottom w:val="0"/>
      <w:divBdr>
        <w:top w:val="none" w:sz="0" w:space="0" w:color="auto"/>
        <w:left w:val="none" w:sz="0" w:space="0" w:color="auto"/>
        <w:bottom w:val="none" w:sz="0" w:space="0" w:color="auto"/>
        <w:right w:val="none" w:sz="0" w:space="0" w:color="auto"/>
      </w:divBdr>
    </w:div>
    <w:div w:id="240452628">
      <w:bodyDiv w:val="1"/>
      <w:marLeft w:val="0"/>
      <w:marRight w:val="0"/>
      <w:marTop w:val="0"/>
      <w:marBottom w:val="0"/>
      <w:divBdr>
        <w:top w:val="none" w:sz="0" w:space="0" w:color="auto"/>
        <w:left w:val="none" w:sz="0" w:space="0" w:color="auto"/>
        <w:bottom w:val="none" w:sz="0" w:space="0" w:color="auto"/>
        <w:right w:val="none" w:sz="0" w:space="0" w:color="auto"/>
      </w:divBdr>
      <w:divsChild>
        <w:div w:id="12656543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21010219">
      <w:bodyDiv w:val="1"/>
      <w:marLeft w:val="0"/>
      <w:marRight w:val="0"/>
      <w:marTop w:val="0"/>
      <w:marBottom w:val="0"/>
      <w:divBdr>
        <w:top w:val="none" w:sz="0" w:space="0" w:color="auto"/>
        <w:left w:val="none" w:sz="0" w:space="0" w:color="auto"/>
        <w:bottom w:val="none" w:sz="0" w:space="0" w:color="auto"/>
        <w:right w:val="none" w:sz="0" w:space="0" w:color="auto"/>
      </w:divBdr>
    </w:div>
    <w:div w:id="373505488">
      <w:bodyDiv w:val="1"/>
      <w:marLeft w:val="0"/>
      <w:marRight w:val="0"/>
      <w:marTop w:val="0"/>
      <w:marBottom w:val="0"/>
      <w:divBdr>
        <w:top w:val="none" w:sz="0" w:space="0" w:color="auto"/>
        <w:left w:val="none" w:sz="0" w:space="0" w:color="auto"/>
        <w:bottom w:val="none" w:sz="0" w:space="0" w:color="auto"/>
        <w:right w:val="none" w:sz="0" w:space="0" w:color="auto"/>
      </w:divBdr>
    </w:div>
    <w:div w:id="377363418">
      <w:bodyDiv w:val="1"/>
      <w:marLeft w:val="0"/>
      <w:marRight w:val="0"/>
      <w:marTop w:val="0"/>
      <w:marBottom w:val="0"/>
      <w:divBdr>
        <w:top w:val="none" w:sz="0" w:space="0" w:color="auto"/>
        <w:left w:val="none" w:sz="0" w:space="0" w:color="auto"/>
        <w:bottom w:val="none" w:sz="0" w:space="0" w:color="auto"/>
        <w:right w:val="none" w:sz="0" w:space="0" w:color="auto"/>
      </w:divBdr>
    </w:div>
    <w:div w:id="450249939">
      <w:bodyDiv w:val="1"/>
      <w:marLeft w:val="0"/>
      <w:marRight w:val="0"/>
      <w:marTop w:val="0"/>
      <w:marBottom w:val="0"/>
      <w:divBdr>
        <w:top w:val="none" w:sz="0" w:space="0" w:color="auto"/>
        <w:left w:val="none" w:sz="0" w:space="0" w:color="auto"/>
        <w:bottom w:val="none" w:sz="0" w:space="0" w:color="auto"/>
        <w:right w:val="none" w:sz="0" w:space="0" w:color="auto"/>
      </w:divBdr>
    </w:div>
    <w:div w:id="465124043">
      <w:bodyDiv w:val="1"/>
      <w:marLeft w:val="0"/>
      <w:marRight w:val="0"/>
      <w:marTop w:val="0"/>
      <w:marBottom w:val="0"/>
      <w:divBdr>
        <w:top w:val="none" w:sz="0" w:space="0" w:color="auto"/>
        <w:left w:val="none" w:sz="0" w:space="0" w:color="auto"/>
        <w:bottom w:val="none" w:sz="0" w:space="0" w:color="auto"/>
        <w:right w:val="none" w:sz="0" w:space="0" w:color="auto"/>
      </w:divBdr>
    </w:div>
    <w:div w:id="473372744">
      <w:bodyDiv w:val="1"/>
      <w:marLeft w:val="0"/>
      <w:marRight w:val="0"/>
      <w:marTop w:val="0"/>
      <w:marBottom w:val="0"/>
      <w:divBdr>
        <w:top w:val="none" w:sz="0" w:space="0" w:color="auto"/>
        <w:left w:val="none" w:sz="0" w:space="0" w:color="auto"/>
        <w:bottom w:val="none" w:sz="0" w:space="0" w:color="auto"/>
        <w:right w:val="none" w:sz="0" w:space="0" w:color="auto"/>
      </w:divBdr>
    </w:div>
    <w:div w:id="477963073">
      <w:bodyDiv w:val="1"/>
      <w:marLeft w:val="0"/>
      <w:marRight w:val="0"/>
      <w:marTop w:val="0"/>
      <w:marBottom w:val="0"/>
      <w:divBdr>
        <w:top w:val="none" w:sz="0" w:space="0" w:color="auto"/>
        <w:left w:val="none" w:sz="0" w:space="0" w:color="auto"/>
        <w:bottom w:val="none" w:sz="0" w:space="0" w:color="auto"/>
        <w:right w:val="none" w:sz="0" w:space="0" w:color="auto"/>
      </w:divBdr>
    </w:div>
    <w:div w:id="481898219">
      <w:bodyDiv w:val="1"/>
      <w:marLeft w:val="0"/>
      <w:marRight w:val="0"/>
      <w:marTop w:val="0"/>
      <w:marBottom w:val="0"/>
      <w:divBdr>
        <w:top w:val="none" w:sz="0" w:space="0" w:color="auto"/>
        <w:left w:val="none" w:sz="0" w:space="0" w:color="auto"/>
        <w:bottom w:val="none" w:sz="0" w:space="0" w:color="auto"/>
        <w:right w:val="none" w:sz="0" w:space="0" w:color="auto"/>
      </w:divBdr>
    </w:div>
    <w:div w:id="483199247">
      <w:bodyDiv w:val="1"/>
      <w:marLeft w:val="0"/>
      <w:marRight w:val="0"/>
      <w:marTop w:val="0"/>
      <w:marBottom w:val="0"/>
      <w:divBdr>
        <w:top w:val="none" w:sz="0" w:space="0" w:color="auto"/>
        <w:left w:val="none" w:sz="0" w:space="0" w:color="auto"/>
        <w:bottom w:val="none" w:sz="0" w:space="0" w:color="auto"/>
        <w:right w:val="none" w:sz="0" w:space="0" w:color="auto"/>
      </w:divBdr>
    </w:div>
    <w:div w:id="49665478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327342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5504713">
      <w:bodyDiv w:val="1"/>
      <w:marLeft w:val="0"/>
      <w:marRight w:val="0"/>
      <w:marTop w:val="0"/>
      <w:marBottom w:val="0"/>
      <w:divBdr>
        <w:top w:val="none" w:sz="0" w:space="0" w:color="auto"/>
        <w:left w:val="none" w:sz="0" w:space="0" w:color="auto"/>
        <w:bottom w:val="none" w:sz="0" w:space="0" w:color="auto"/>
        <w:right w:val="none" w:sz="0" w:space="0" w:color="auto"/>
      </w:divBdr>
    </w:div>
    <w:div w:id="649604526">
      <w:bodyDiv w:val="1"/>
      <w:marLeft w:val="0"/>
      <w:marRight w:val="0"/>
      <w:marTop w:val="0"/>
      <w:marBottom w:val="0"/>
      <w:divBdr>
        <w:top w:val="none" w:sz="0" w:space="0" w:color="auto"/>
        <w:left w:val="none" w:sz="0" w:space="0" w:color="auto"/>
        <w:bottom w:val="none" w:sz="0" w:space="0" w:color="auto"/>
        <w:right w:val="none" w:sz="0" w:space="0" w:color="auto"/>
      </w:divBdr>
      <w:divsChild>
        <w:div w:id="14690869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25178035">
      <w:bodyDiv w:val="1"/>
      <w:marLeft w:val="0"/>
      <w:marRight w:val="0"/>
      <w:marTop w:val="0"/>
      <w:marBottom w:val="0"/>
      <w:divBdr>
        <w:top w:val="none" w:sz="0" w:space="0" w:color="auto"/>
        <w:left w:val="none" w:sz="0" w:space="0" w:color="auto"/>
        <w:bottom w:val="none" w:sz="0" w:space="0" w:color="auto"/>
        <w:right w:val="none" w:sz="0" w:space="0" w:color="auto"/>
      </w:divBdr>
    </w:div>
    <w:div w:id="737367380">
      <w:bodyDiv w:val="1"/>
      <w:marLeft w:val="0"/>
      <w:marRight w:val="0"/>
      <w:marTop w:val="0"/>
      <w:marBottom w:val="0"/>
      <w:divBdr>
        <w:top w:val="none" w:sz="0" w:space="0" w:color="auto"/>
        <w:left w:val="none" w:sz="0" w:space="0" w:color="auto"/>
        <w:bottom w:val="none" w:sz="0" w:space="0" w:color="auto"/>
        <w:right w:val="none" w:sz="0" w:space="0" w:color="auto"/>
      </w:divBdr>
      <w:divsChild>
        <w:div w:id="12052130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6149137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155766">
      <w:bodyDiv w:val="1"/>
      <w:marLeft w:val="0"/>
      <w:marRight w:val="0"/>
      <w:marTop w:val="0"/>
      <w:marBottom w:val="0"/>
      <w:divBdr>
        <w:top w:val="none" w:sz="0" w:space="0" w:color="auto"/>
        <w:left w:val="none" w:sz="0" w:space="0" w:color="auto"/>
        <w:bottom w:val="none" w:sz="0" w:space="0" w:color="auto"/>
        <w:right w:val="none" w:sz="0" w:space="0" w:color="auto"/>
      </w:divBdr>
    </w:div>
    <w:div w:id="970207078">
      <w:bodyDiv w:val="1"/>
      <w:marLeft w:val="0"/>
      <w:marRight w:val="0"/>
      <w:marTop w:val="0"/>
      <w:marBottom w:val="0"/>
      <w:divBdr>
        <w:top w:val="none" w:sz="0" w:space="0" w:color="auto"/>
        <w:left w:val="none" w:sz="0" w:space="0" w:color="auto"/>
        <w:bottom w:val="none" w:sz="0" w:space="0" w:color="auto"/>
        <w:right w:val="none" w:sz="0" w:space="0" w:color="auto"/>
      </w:divBdr>
      <w:divsChild>
        <w:div w:id="16416927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21710363">
      <w:bodyDiv w:val="1"/>
      <w:marLeft w:val="0"/>
      <w:marRight w:val="0"/>
      <w:marTop w:val="0"/>
      <w:marBottom w:val="0"/>
      <w:divBdr>
        <w:top w:val="none" w:sz="0" w:space="0" w:color="auto"/>
        <w:left w:val="none" w:sz="0" w:space="0" w:color="auto"/>
        <w:bottom w:val="none" w:sz="0" w:space="0" w:color="auto"/>
        <w:right w:val="none" w:sz="0" w:space="0" w:color="auto"/>
      </w:divBdr>
    </w:div>
    <w:div w:id="1033579826">
      <w:bodyDiv w:val="1"/>
      <w:marLeft w:val="0"/>
      <w:marRight w:val="0"/>
      <w:marTop w:val="0"/>
      <w:marBottom w:val="0"/>
      <w:divBdr>
        <w:top w:val="none" w:sz="0" w:space="0" w:color="auto"/>
        <w:left w:val="none" w:sz="0" w:space="0" w:color="auto"/>
        <w:bottom w:val="none" w:sz="0" w:space="0" w:color="auto"/>
        <w:right w:val="none" w:sz="0" w:space="0" w:color="auto"/>
      </w:divBdr>
    </w:div>
    <w:div w:id="1042291784">
      <w:bodyDiv w:val="1"/>
      <w:marLeft w:val="0"/>
      <w:marRight w:val="0"/>
      <w:marTop w:val="0"/>
      <w:marBottom w:val="0"/>
      <w:divBdr>
        <w:top w:val="none" w:sz="0" w:space="0" w:color="auto"/>
        <w:left w:val="none" w:sz="0" w:space="0" w:color="auto"/>
        <w:bottom w:val="none" w:sz="0" w:space="0" w:color="auto"/>
        <w:right w:val="none" w:sz="0" w:space="0" w:color="auto"/>
      </w:divBdr>
    </w:div>
    <w:div w:id="1062404510">
      <w:bodyDiv w:val="1"/>
      <w:marLeft w:val="0"/>
      <w:marRight w:val="0"/>
      <w:marTop w:val="0"/>
      <w:marBottom w:val="0"/>
      <w:divBdr>
        <w:top w:val="none" w:sz="0" w:space="0" w:color="auto"/>
        <w:left w:val="none" w:sz="0" w:space="0" w:color="auto"/>
        <w:bottom w:val="none" w:sz="0" w:space="0" w:color="auto"/>
        <w:right w:val="none" w:sz="0" w:space="0" w:color="auto"/>
      </w:divBdr>
    </w:div>
    <w:div w:id="115665374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633005">
      <w:bodyDiv w:val="1"/>
      <w:marLeft w:val="0"/>
      <w:marRight w:val="0"/>
      <w:marTop w:val="0"/>
      <w:marBottom w:val="0"/>
      <w:divBdr>
        <w:top w:val="none" w:sz="0" w:space="0" w:color="auto"/>
        <w:left w:val="none" w:sz="0" w:space="0" w:color="auto"/>
        <w:bottom w:val="none" w:sz="0" w:space="0" w:color="auto"/>
        <w:right w:val="none" w:sz="0" w:space="0" w:color="auto"/>
      </w:divBdr>
    </w:div>
    <w:div w:id="1247033535">
      <w:bodyDiv w:val="1"/>
      <w:marLeft w:val="0"/>
      <w:marRight w:val="0"/>
      <w:marTop w:val="0"/>
      <w:marBottom w:val="0"/>
      <w:divBdr>
        <w:top w:val="none" w:sz="0" w:space="0" w:color="auto"/>
        <w:left w:val="none" w:sz="0" w:space="0" w:color="auto"/>
        <w:bottom w:val="none" w:sz="0" w:space="0" w:color="auto"/>
        <w:right w:val="none" w:sz="0" w:space="0" w:color="auto"/>
      </w:divBdr>
    </w:div>
    <w:div w:id="1279336713">
      <w:bodyDiv w:val="1"/>
      <w:marLeft w:val="0"/>
      <w:marRight w:val="0"/>
      <w:marTop w:val="0"/>
      <w:marBottom w:val="0"/>
      <w:divBdr>
        <w:top w:val="none" w:sz="0" w:space="0" w:color="auto"/>
        <w:left w:val="none" w:sz="0" w:space="0" w:color="auto"/>
        <w:bottom w:val="none" w:sz="0" w:space="0" w:color="auto"/>
        <w:right w:val="none" w:sz="0" w:space="0" w:color="auto"/>
      </w:divBdr>
    </w:div>
    <w:div w:id="1290167903">
      <w:bodyDiv w:val="1"/>
      <w:marLeft w:val="0"/>
      <w:marRight w:val="0"/>
      <w:marTop w:val="0"/>
      <w:marBottom w:val="0"/>
      <w:divBdr>
        <w:top w:val="none" w:sz="0" w:space="0" w:color="auto"/>
        <w:left w:val="none" w:sz="0" w:space="0" w:color="auto"/>
        <w:bottom w:val="none" w:sz="0" w:space="0" w:color="auto"/>
        <w:right w:val="none" w:sz="0" w:space="0" w:color="auto"/>
      </w:divBdr>
    </w:div>
    <w:div w:id="1313558445">
      <w:bodyDiv w:val="1"/>
      <w:marLeft w:val="0"/>
      <w:marRight w:val="0"/>
      <w:marTop w:val="0"/>
      <w:marBottom w:val="0"/>
      <w:divBdr>
        <w:top w:val="none" w:sz="0" w:space="0" w:color="auto"/>
        <w:left w:val="none" w:sz="0" w:space="0" w:color="auto"/>
        <w:bottom w:val="none" w:sz="0" w:space="0" w:color="auto"/>
        <w:right w:val="none" w:sz="0" w:space="0" w:color="auto"/>
      </w:divBdr>
    </w:div>
    <w:div w:id="1343512724">
      <w:bodyDiv w:val="1"/>
      <w:marLeft w:val="0"/>
      <w:marRight w:val="0"/>
      <w:marTop w:val="0"/>
      <w:marBottom w:val="0"/>
      <w:divBdr>
        <w:top w:val="none" w:sz="0" w:space="0" w:color="auto"/>
        <w:left w:val="none" w:sz="0" w:space="0" w:color="auto"/>
        <w:bottom w:val="none" w:sz="0" w:space="0" w:color="auto"/>
        <w:right w:val="none" w:sz="0" w:space="0" w:color="auto"/>
      </w:divBdr>
    </w:div>
    <w:div w:id="1392655613">
      <w:bodyDiv w:val="1"/>
      <w:marLeft w:val="0"/>
      <w:marRight w:val="0"/>
      <w:marTop w:val="0"/>
      <w:marBottom w:val="0"/>
      <w:divBdr>
        <w:top w:val="none" w:sz="0" w:space="0" w:color="auto"/>
        <w:left w:val="none" w:sz="0" w:space="0" w:color="auto"/>
        <w:bottom w:val="none" w:sz="0" w:space="0" w:color="auto"/>
        <w:right w:val="none" w:sz="0" w:space="0" w:color="auto"/>
      </w:divBdr>
    </w:div>
    <w:div w:id="1408191086">
      <w:bodyDiv w:val="1"/>
      <w:marLeft w:val="0"/>
      <w:marRight w:val="0"/>
      <w:marTop w:val="0"/>
      <w:marBottom w:val="0"/>
      <w:divBdr>
        <w:top w:val="none" w:sz="0" w:space="0" w:color="auto"/>
        <w:left w:val="none" w:sz="0" w:space="0" w:color="auto"/>
        <w:bottom w:val="none" w:sz="0" w:space="0" w:color="auto"/>
        <w:right w:val="none" w:sz="0" w:space="0" w:color="auto"/>
      </w:divBdr>
    </w:div>
    <w:div w:id="1415277564">
      <w:bodyDiv w:val="1"/>
      <w:marLeft w:val="0"/>
      <w:marRight w:val="0"/>
      <w:marTop w:val="0"/>
      <w:marBottom w:val="0"/>
      <w:divBdr>
        <w:top w:val="none" w:sz="0" w:space="0" w:color="auto"/>
        <w:left w:val="none" w:sz="0" w:space="0" w:color="auto"/>
        <w:bottom w:val="none" w:sz="0" w:space="0" w:color="auto"/>
        <w:right w:val="none" w:sz="0" w:space="0" w:color="auto"/>
      </w:divBdr>
    </w:div>
    <w:div w:id="1477842118">
      <w:bodyDiv w:val="1"/>
      <w:marLeft w:val="0"/>
      <w:marRight w:val="0"/>
      <w:marTop w:val="0"/>
      <w:marBottom w:val="0"/>
      <w:divBdr>
        <w:top w:val="none" w:sz="0" w:space="0" w:color="auto"/>
        <w:left w:val="none" w:sz="0" w:space="0" w:color="auto"/>
        <w:bottom w:val="none" w:sz="0" w:space="0" w:color="auto"/>
        <w:right w:val="none" w:sz="0" w:space="0" w:color="auto"/>
      </w:divBdr>
      <w:divsChild>
        <w:div w:id="16559927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21701026">
      <w:bodyDiv w:val="1"/>
      <w:marLeft w:val="0"/>
      <w:marRight w:val="0"/>
      <w:marTop w:val="0"/>
      <w:marBottom w:val="0"/>
      <w:divBdr>
        <w:top w:val="none" w:sz="0" w:space="0" w:color="auto"/>
        <w:left w:val="none" w:sz="0" w:space="0" w:color="auto"/>
        <w:bottom w:val="none" w:sz="0" w:space="0" w:color="auto"/>
        <w:right w:val="none" w:sz="0" w:space="0" w:color="auto"/>
      </w:divBdr>
    </w:div>
    <w:div w:id="1573079454">
      <w:bodyDiv w:val="1"/>
      <w:marLeft w:val="0"/>
      <w:marRight w:val="0"/>
      <w:marTop w:val="0"/>
      <w:marBottom w:val="0"/>
      <w:divBdr>
        <w:top w:val="none" w:sz="0" w:space="0" w:color="auto"/>
        <w:left w:val="none" w:sz="0" w:space="0" w:color="auto"/>
        <w:bottom w:val="none" w:sz="0" w:space="0" w:color="auto"/>
        <w:right w:val="none" w:sz="0" w:space="0" w:color="auto"/>
      </w:divBdr>
    </w:div>
    <w:div w:id="1622759764">
      <w:bodyDiv w:val="1"/>
      <w:marLeft w:val="0"/>
      <w:marRight w:val="0"/>
      <w:marTop w:val="0"/>
      <w:marBottom w:val="0"/>
      <w:divBdr>
        <w:top w:val="none" w:sz="0" w:space="0" w:color="auto"/>
        <w:left w:val="none" w:sz="0" w:space="0" w:color="auto"/>
        <w:bottom w:val="none" w:sz="0" w:space="0" w:color="auto"/>
        <w:right w:val="none" w:sz="0" w:space="0" w:color="auto"/>
      </w:divBdr>
    </w:div>
    <w:div w:id="1641884726">
      <w:bodyDiv w:val="1"/>
      <w:marLeft w:val="0"/>
      <w:marRight w:val="0"/>
      <w:marTop w:val="0"/>
      <w:marBottom w:val="0"/>
      <w:divBdr>
        <w:top w:val="none" w:sz="0" w:space="0" w:color="auto"/>
        <w:left w:val="none" w:sz="0" w:space="0" w:color="auto"/>
        <w:bottom w:val="none" w:sz="0" w:space="0" w:color="auto"/>
        <w:right w:val="none" w:sz="0" w:space="0" w:color="auto"/>
      </w:divBdr>
    </w:div>
    <w:div w:id="1648513452">
      <w:bodyDiv w:val="1"/>
      <w:marLeft w:val="0"/>
      <w:marRight w:val="0"/>
      <w:marTop w:val="0"/>
      <w:marBottom w:val="0"/>
      <w:divBdr>
        <w:top w:val="none" w:sz="0" w:space="0" w:color="auto"/>
        <w:left w:val="none" w:sz="0" w:space="0" w:color="auto"/>
        <w:bottom w:val="none" w:sz="0" w:space="0" w:color="auto"/>
        <w:right w:val="none" w:sz="0" w:space="0" w:color="auto"/>
      </w:divBdr>
    </w:div>
    <w:div w:id="1687753754">
      <w:bodyDiv w:val="1"/>
      <w:marLeft w:val="0"/>
      <w:marRight w:val="0"/>
      <w:marTop w:val="0"/>
      <w:marBottom w:val="0"/>
      <w:divBdr>
        <w:top w:val="none" w:sz="0" w:space="0" w:color="auto"/>
        <w:left w:val="none" w:sz="0" w:space="0" w:color="auto"/>
        <w:bottom w:val="none" w:sz="0" w:space="0" w:color="auto"/>
        <w:right w:val="none" w:sz="0" w:space="0" w:color="auto"/>
      </w:divBdr>
    </w:div>
    <w:div w:id="1718969528">
      <w:bodyDiv w:val="1"/>
      <w:marLeft w:val="0"/>
      <w:marRight w:val="0"/>
      <w:marTop w:val="0"/>
      <w:marBottom w:val="0"/>
      <w:divBdr>
        <w:top w:val="none" w:sz="0" w:space="0" w:color="auto"/>
        <w:left w:val="none" w:sz="0" w:space="0" w:color="auto"/>
        <w:bottom w:val="none" w:sz="0" w:space="0" w:color="auto"/>
        <w:right w:val="none" w:sz="0" w:space="0" w:color="auto"/>
      </w:divBdr>
    </w:div>
    <w:div w:id="179162452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4752790">
      <w:bodyDiv w:val="1"/>
      <w:marLeft w:val="0"/>
      <w:marRight w:val="0"/>
      <w:marTop w:val="0"/>
      <w:marBottom w:val="0"/>
      <w:divBdr>
        <w:top w:val="none" w:sz="0" w:space="0" w:color="auto"/>
        <w:left w:val="none" w:sz="0" w:space="0" w:color="auto"/>
        <w:bottom w:val="none" w:sz="0" w:space="0" w:color="auto"/>
        <w:right w:val="none" w:sz="0" w:space="0" w:color="auto"/>
      </w:divBdr>
    </w:div>
    <w:div w:id="1909218688">
      <w:bodyDiv w:val="1"/>
      <w:marLeft w:val="0"/>
      <w:marRight w:val="0"/>
      <w:marTop w:val="0"/>
      <w:marBottom w:val="0"/>
      <w:divBdr>
        <w:top w:val="none" w:sz="0" w:space="0" w:color="auto"/>
        <w:left w:val="none" w:sz="0" w:space="0" w:color="auto"/>
        <w:bottom w:val="none" w:sz="0" w:space="0" w:color="auto"/>
        <w:right w:val="none" w:sz="0" w:space="0" w:color="auto"/>
      </w:divBdr>
    </w:div>
    <w:div w:id="1944678801">
      <w:bodyDiv w:val="1"/>
      <w:marLeft w:val="0"/>
      <w:marRight w:val="0"/>
      <w:marTop w:val="0"/>
      <w:marBottom w:val="0"/>
      <w:divBdr>
        <w:top w:val="none" w:sz="0" w:space="0" w:color="auto"/>
        <w:left w:val="none" w:sz="0" w:space="0" w:color="auto"/>
        <w:bottom w:val="none" w:sz="0" w:space="0" w:color="auto"/>
        <w:right w:val="none" w:sz="0" w:space="0" w:color="auto"/>
      </w:divBdr>
    </w:div>
    <w:div w:id="1983070679">
      <w:bodyDiv w:val="1"/>
      <w:marLeft w:val="0"/>
      <w:marRight w:val="0"/>
      <w:marTop w:val="0"/>
      <w:marBottom w:val="0"/>
      <w:divBdr>
        <w:top w:val="none" w:sz="0" w:space="0" w:color="auto"/>
        <w:left w:val="none" w:sz="0" w:space="0" w:color="auto"/>
        <w:bottom w:val="none" w:sz="0" w:space="0" w:color="auto"/>
        <w:right w:val="none" w:sz="0" w:space="0" w:color="auto"/>
      </w:divBdr>
    </w:div>
    <w:div w:id="1989898741">
      <w:bodyDiv w:val="1"/>
      <w:marLeft w:val="0"/>
      <w:marRight w:val="0"/>
      <w:marTop w:val="0"/>
      <w:marBottom w:val="0"/>
      <w:divBdr>
        <w:top w:val="none" w:sz="0" w:space="0" w:color="auto"/>
        <w:left w:val="none" w:sz="0" w:space="0" w:color="auto"/>
        <w:bottom w:val="none" w:sz="0" w:space="0" w:color="auto"/>
        <w:right w:val="none" w:sz="0" w:space="0" w:color="auto"/>
      </w:divBdr>
    </w:div>
    <w:div w:id="2005428193">
      <w:bodyDiv w:val="1"/>
      <w:marLeft w:val="0"/>
      <w:marRight w:val="0"/>
      <w:marTop w:val="0"/>
      <w:marBottom w:val="0"/>
      <w:divBdr>
        <w:top w:val="none" w:sz="0" w:space="0" w:color="auto"/>
        <w:left w:val="none" w:sz="0" w:space="0" w:color="auto"/>
        <w:bottom w:val="none" w:sz="0" w:space="0" w:color="auto"/>
        <w:right w:val="none" w:sz="0" w:space="0" w:color="auto"/>
      </w:divBdr>
    </w:div>
    <w:div w:id="2021007254">
      <w:bodyDiv w:val="1"/>
      <w:marLeft w:val="0"/>
      <w:marRight w:val="0"/>
      <w:marTop w:val="0"/>
      <w:marBottom w:val="0"/>
      <w:divBdr>
        <w:top w:val="none" w:sz="0" w:space="0" w:color="auto"/>
        <w:left w:val="none" w:sz="0" w:space="0" w:color="auto"/>
        <w:bottom w:val="none" w:sz="0" w:space="0" w:color="auto"/>
        <w:right w:val="none" w:sz="0" w:space="0" w:color="auto"/>
      </w:divBdr>
    </w:div>
    <w:div w:id="2025083365">
      <w:bodyDiv w:val="1"/>
      <w:marLeft w:val="0"/>
      <w:marRight w:val="0"/>
      <w:marTop w:val="0"/>
      <w:marBottom w:val="0"/>
      <w:divBdr>
        <w:top w:val="none" w:sz="0" w:space="0" w:color="auto"/>
        <w:left w:val="none" w:sz="0" w:space="0" w:color="auto"/>
        <w:bottom w:val="none" w:sz="0" w:space="0" w:color="auto"/>
        <w:right w:val="none" w:sz="0" w:space="0" w:color="auto"/>
      </w:divBdr>
    </w:div>
    <w:div w:id="203754092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373202">
      <w:bodyDiv w:val="1"/>
      <w:marLeft w:val="0"/>
      <w:marRight w:val="0"/>
      <w:marTop w:val="0"/>
      <w:marBottom w:val="0"/>
      <w:divBdr>
        <w:top w:val="none" w:sz="0" w:space="0" w:color="auto"/>
        <w:left w:val="none" w:sz="0" w:space="0" w:color="auto"/>
        <w:bottom w:val="none" w:sz="0" w:space="0" w:color="auto"/>
        <w:right w:val="none" w:sz="0" w:space="0" w:color="auto"/>
      </w:divBdr>
    </w:div>
    <w:div w:id="2129857889">
      <w:bodyDiv w:val="1"/>
      <w:marLeft w:val="0"/>
      <w:marRight w:val="0"/>
      <w:marTop w:val="0"/>
      <w:marBottom w:val="0"/>
      <w:divBdr>
        <w:top w:val="none" w:sz="0" w:space="0" w:color="auto"/>
        <w:left w:val="none" w:sz="0" w:space="0" w:color="auto"/>
        <w:bottom w:val="none" w:sz="0" w:space="0" w:color="auto"/>
        <w:right w:val="none" w:sz="0" w:space="0" w:color="auto"/>
      </w:divBdr>
    </w:div>
    <w:div w:id="2132434830">
      <w:bodyDiv w:val="1"/>
      <w:marLeft w:val="0"/>
      <w:marRight w:val="0"/>
      <w:marTop w:val="0"/>
      <w:marBottom w:val="0"/>
      <w:divBdr>
        <w:top w:val="none" w:sz="0" w:space="0" w:color="auto"/>
        <w:left w:val="none" w:sz="0" w:space="0" w:color="auto"/>
        <w:bottom w:val="none" w:sz="0" w:space="0" w:color="auto"/>
        <w:right w:val="none" w:sz="0" w:space="0" w:color="auto"/>
      </w:divBdr>
    </w:div>
    <w:div w:id="2135905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01831/https://beeindia.gov.in/sites/default/files/Detailed%20Procedure%20for%20Offset%20Mechanism_CCTS.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1353/https://beeindia.gov.in/sites/default/files/CCT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8125430/https://beeindia.gov.in/en/programmes/carbon-marke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51</Pages>
  <Words>24122</Words>
  <Characters>137496</Characters>
  <Application>Microsoft Office Word</Application>
  <DocSecurity>0</DocSecurity>
  <Lines>1145</Lines>
  <Paragraphs>322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8</cp:revision>
  <cp:lastPrinted>2025-03-21T00:14:00Z</cp:lastPrinted>
  <dcterms:created xsi:type="dcterms:W3CDTF">2025-07-07T20:26:00Z</dcterms:created>
  <dcterms:modified xsi:type="dcterms:W3CDTF">2025-07-08T17:01:00Z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